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6C4" w:rsidRDefault="005923FD" w:rsidP="005043E7">
      <w:pPr>
        <w:spacing w:after="0"/>
        <w:rPr>
          <w:rFonts w:asciiTheme="majorHAnsi" w:hAnsiTheme="majorHAnsi"/>
          <w:b/>
          <w:i/>
        </w:rPr>
      </w:pPr>
      <w:bookmarkStart w:id="0" w:name="_GoBack"/>
      <w:bookmarkEnd w:id="0"/>
      <w:r w:rsidRPr="00752B88">
        <w:rPr>
          <w:rFonts w:asciiTheme="majorHAnsi" w:hAnsiTheme="majorHAnsi"/>
          <w:b/>
          <w:i/>
        </w:rPr>
        <w:t xml:space="preserve">Section-by-Section Summary of </w:t>
      </w:r>
      <w:r w:rsidR="005043E7">
        <w:rPr>
          <w:rFonts w:asciiTheme="majorHAnsi" w:hAnsiTheme="majorHAnsi"/>
          <w:b/>
          <w:i/>
        </w:rPr>
        <w:t xml:space="preserve">2016 </w:t>
      </w:r>
      <w:r w:rsidRPr="00752B88">
        <w:rPr>
          <w:rFonts w:asciiTheme="majorHAnsi" w:hAnsiTheme="majorHAnsi"/>
          <w:b/>
          <w:i/>
        </w:rPr>
        <w:t>Building Code Bill—HB 535</w:t>
      </w:r>
      <w:r w:rsidR="00752B88">
        <w:rPr>
          <w:rFonts w:asciiTheme="majorHAnsi" w:hAnsiTheme="majorHAnsi"/>
          <w:b/>
          <w:i/>
        </w:rPr>
        <w:t xml:space="preserve"> by Eagle</w:t>
      </w:r>
      <w:r w:rsidRPr="00752B88">
        <w:rPr>
          <w:rFonts w:asciiTheme="majorHAnsi" w:hAnsiTheme="majorHAnsi"/>
          <w:b/>
          <w:i/>
        </w:rPr>
        <w:t>/SB 704</w:t>
      </w:r>
      <w:r w:rsidR="00752B88">
        <w:rPr>
          <w:rFonts w:asciiTheme="majorHAnsi" w:hAnsiTheme="majorHAnsi"/>
          <w:b/>
          <w:i/>
        </w:rPr>
        <w:t xml:space="preserve"> by Hutson</w:t>
      </w:r>
    </w:p>
    <w:p w:rsidR="005043E7" w:rsidRDefault="005043E7" w:rsidP="005043E7">
      <w:pPr>
        <w:spacing w:after="0"/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>Prepared by Kari Hebrank</w:t>
      </w:r>
    </w:p>
    <w:p w:rsidR="005043E7" w:rsidRPr="00752B88" w:rsidRDefault="005043E7" w:rsidP="005043E7">
      <w:pPr>
        <w:spacing w:after="0"/>
        <w:rPr>
          <w:rFonts w:asciiTheme="majorHAnsi" w:hAnsiTheme="majorHAnsi"/>
          <w:b/>
          <w:i/>
        </w:rPr>
      </w:pPr>
    </w:p>
    <w:p w:rsidR="005923FD" w:rsidRDefault="005923FD">
      <w:pPr>
        <w:rPr>
          <w:rFonts w:asciiTheme="majorHAnsi" w:hAnsiTheme="majorHAnsi"/>
        </w:rPr>
      </w:pPr>
      <w:r w:rsidRPr="005043E7">
        <w:rPr>
          <w:rFonts w:asciiTheme="majorHAnsi" w:hAnsiTheme="majorHAnsi"/>
          <w:b/>
        </w:rPr>
        <w:t>Section 1</w:t>
      </w:r>
      <w:r>
        <w:rPr>
          <w:rFonts w:asciiTheme="majorHAnsi" w:hAnsiTheme="majorHAnsi"/>
        </w:rPr>
        <w:t>—Revamps training, cross-training and experience requirements for plans examiners and building inspectors to help address qualified workforce shortfall;</w:t>
      </w:r>
    </w:p>
    <w:p w:rsidR="005923FD" w:rsidRDefault="005923FD">
      <w:pPr>
        <w:rPr>
          <w:rFonts w:asciiTheme="majorHAnsi" w:hAnsiTheme="majorHAnsi"/>
        </w:rPr>
      </w:pPr>
      <w:r w:rsidRPr="005043E7">
        <w:rPr>
          <w:rFonts w:asciiTheme="majorHAnsi" w:hAnsiTheme="majorHAnsi"/>
          <w:b/>
        </w:rPr>
        <w:t>Section 2</w:t>
      </w:r>
      <w:r>
        <w:rPr>
          <w:rFonts w:asciiTheme="majorHAnsi" w:hAnsiTheme="majorHAnsi"/>
        </w:rPr>
        <w:t>—Authorizes apartment maintenance employee employed by apartment management associations with 100 or more units to make minor repairs to water heaters and HVAC units under certain conditions;</w:t>
      </w:r>
    </w:p>
    <w:p w:rsidR="005923FD" w:rsidRDefault="005923FD">
      <w:pPr>
        <w:rPr>
          <w:rFonts w:asciiTheme="majorHAnsi" w:hAnsiTheme="majorHAnsi"/>
        </w:rPr>
      </w:pPr>
      <w:r w:rsidRPr="005043E7">
        <w:rPr>
          <w:rFonts w:asciiTheme="majorHAnsi" w:hAnsiTheme="majorHAnsi"/>
          <w:b/>
        </w:rPr>
        <w:t>Section 3</w:t>
      </w:r>
      <w:r>
        <w:rPr>
          <w:rFonts w:asciiTheme="majorHAnsi" w:hAnsiTheme="majorHAnsi"/>
        </w:rPr>
        <w:t>—Authorizes a propane gas contractor to connect &amp; disconnect water lines to a hot water heater;</w:t>
      </w:r>
    </w:p>
    <w:p w:rsidR="005923FD" w:rsidRDefault="005923FD">
      <w:pPr>
        <w:rPr>
          <w:rFonts w:asciiTheme="majorHAnsi" w:hAnsiTheme="majorHAnsi"/>
        </w:rPr>
      </w:pPr>
      <w:r w:rsidRPr="005043E7">
        <w:rPr>
          <w:rFonts w:asciiTheme="majorHAnsi" w:hAnsiTheme="majorHAnsi"/>
          <w:b/>
        </w:rPr>
        <w:t>Section</w:t>
      </w:r>
      <w:r w:rsidR="00B77CB8" w:rsidRPr="005043E7">
        <w:rPr>
          <w:rFonts w:asciiTheme="majorHAnsi" w:hAnsiTheme="majorHAnsi"/>
          <w:b/>
        </w:rPr>
        <w:t>s</w:t>
      </w:r>
      <w:r w:rsidRPr="005043E7">
        <w:rPr>
          <w:rFonts w:asciiTheme="majorHAnsi" w:hAnsiTheme="majorHAnsi"/>
          <w:b/>
        </w:rPr>
        <w:t xml:space="preserve"> 4</w:t>
      </w:r>
      <w:r w:rsidR="00B77CB8" w:rsidRPr="005043E7">
        <w:rPr>
          <w:rFonts w:asciiTheme="majorHAnsi" w:hAnsiTheme="majorHAnsi"/>
          <w:b/>
        </w:rPr>
        <w:t>-8</w:t>
      </w:r>
      <w:r>
        <w:rPr>
          <w:rFonts w:asciiTheme="majorHAnsi" w:hAnsiTheme="majorHAnsi"/>
        </w:rPr>
        <w:t xml:space="preserve">—Adds </w:t>
      </w:r>
      <w:r w:rsidR="00B77CB8">
        <w:rPr>
          <w:rFonts w:asciiTheme="majorHAnsi" w:hAnsiTheme="majorHAnsi"/>
        </w:rPr>
        <w:t xml:space="preserve">claims against </w:t>
      </w:r>
      <w:r>
        <w:rPr>
          <w:rFonts w:asciiTheme="majorHAnsi" w:hAnsiTheme="majorHAnsi"/>
        </w:rPr>
        <w:t xml:space="preserve">Division II contractors to </w:t>
      </w:r>
      <w:r w:rsidR="00B77CB8">
        <w:rPr>
          <w:rFonts w:asciiTheme="majorHAnsi" w:hAnsiTheme="majorHAnsi"/>
        </w:rPr>
        <w:t xml:space="preserve">the Homeowner’s Construction Recovery Fund eligibility and caps maximum payment from fund for Division II claim at $15K, with an aggregate cap for each Division II licensee at $150K; </w:t>
      </w:r>
    </w:p>
    <w:p w:rsidR="00B77CB8" w:rsidRDefault="00B77CB8">
      <w:pPr>
        <w:rPr>
          <w:rFonts w:asciiTheme="majorHAnsi" w:hAnsiTheme="majorHAnsi"/>
        </w:rPr>
      </w:pPr>
      <w:r w:rsidRPr="005043E7">
        <w:rPr>
          <w:rFonts w:asciiTheme="majorHAnsi" w:hAnsiTheme="majorHAnsi"/>
          <w:b/>
        </w:rPr>
        <w:t>Section 9</w:t>
      </w:r>
      <w:r>
        <w:rPr>
          <w:rFonts w:asciiTheme="majorHAnsi" w:hAnsiTheme="majorHAnsi"/>
        </w:rPr>
        <w:t>—Exempts certain low voltage landscape lighting installation from licensure requirements;</w:t>
      </w:r>
    </w:p>
    <w:p w:rsidR="00B77CB8" w:rsidRDefault="00B77CB8">
      <w:pPr>
        <w:rPr>
          <w:rFonts w:asciiTheme="majorHAnsi" w:hAnsiTheme="majorHAnsi"/>
        </w:rPr>
      </w:pPr>
      <w:r w:rsidRPr="005043E7">
        <w:rPr>
          <w:rFonts w:asciiTheme="majorHAnsi" w:hAnsiTheme="majorHAnsi"/>
          <w:b/>
        </w:rPr>
        <w:t>Section 10</w:t>
      </w:r>
      <w:r>
        <w:rPr>
          <w:rFonts w:asciiTheme="majorHAnsi" w:hAnsiTheme="majorHAnsi"/>
        </w:rPr>
        <w:t>—Defines “temporary pool” with regards to public pool regulation;</w:t>
      </w:r>
    </w:p>
    <w:p w:rsidR="00B77CB8" w:rsidRDefault="00B77CB8">
      <w:pPr>
        <w:rPr>
          <w:rFonts w:asciiTheme="majorHAnsi" w:hAnsiTheme="majorHAnsi"/>
        </w:rPr>
      </w:pPr>
      <w:r w:rsidRPr="005043E7">
        <w:rPr>
          <w:rFonts w:asciiTheme="majorHAnsi" w:hAnsiTheme="majorHAnsi"/>
          <w:b/>
        </w:rPr>
        <w:t>Section 11</w:t>
      </w:r>
      <w:r>
        <w:rPr>
          <w:rFonts w:asciiTheme="majorHAnsi" w:hAnsiTheme="majorHAnsi"/>
        </w:rPr>
        <w:t>—Defines “portable pool” with regards to public pool regulation and specifies that “temporary pools” and “portable pools” may not be regulated as public pools;</w:t>
      </w:r>
    </w:p>
    <w:p w:rsidR="00B77CB8" w:rsidRDefault="00B77CB8">
      <w:pPr>
        <w:rPr>
          <w:rFonts w:asciiTheme="majorHAnsi" w:hAnsiTheme="majorHAnsi"/>
        </w:rPr>
      </w:pPr>
      <w:r w:rsidRPr="005043E7">
        <w:rPr>
          <w:rFonts w:asciiTheme="majorHAnsi" w:hAnsiTheme="majorHAnsi"/>
          <w:b/>
        </w:rPr>
        <w:t>Section 12</w:t>
      </w:r>
      <w:r w:rsidR="00453BBA" w:rsidRPr="005043E7">
        <w:rPr>
          <w:rFonts w:asciiTheme="majorHAnsi" w:hAnsiTheme="majorHAnsi"/>
          <w:b/>
        </w:rPr>
        <w:t xml:space="preserve"> &amp; 13</w:t>
      </w:r>
      <w:r w:rsidR="00453BBA">
        <w:rPr>
          <w:rFonts w:asciiTheme="majorHAnsi" w:hAnsiTheme="majorHAnsi"/>
        </w:rPr>
        <w:t>—Specifies permitting and enforcement for “temporary” and “portable” pools;</w:t>
      </w:r>
    </w:p>
    <w:p w:rsidR="00453BBA" w:rsidRDefault="00453BBA">
      <w:pPr>
        <w:rPr>
          <w:rFonts w:asciiTheme="majorHAnsi" w:hAnsiTheme="majorHAnsi"/>
        </w:rPr>
      </w:pPr>
      <w:r w:rsidRPr="005043E7">
        <w:rPr>
          <w:rFonts w:asciiTheme="majorHAnsi" w:hAnsiTheme="majorHAnsi"/>
          <w:b/>
        </w:rPr>
        <w:t>Section 14</w:t>
      </w:r>
      <w:r>
        <w:rPr>
          <w:rFonts w:asciiTheme="majorHAnsi" w:hAnsiTheme="majorHAnsi"/>
        </w:rPr>
        <w:t>—Authorizes new swimming pool alarm as a method for demonstrating safety features in residential swimming pools;</w:t>
      </w:r>
    </w:p>
    <w:p w:rsidR="00453BBA" w:rsidRDefault="00453BBA">
      <w:pPr>
        <w:rPr>
          <w:rFonts w:asciiTheme="majorHAnsi" w:hAnsiTheme="majorHAnsi"/>
        </w:rPr>
      </w:pPr>
      <w:r w:rsidRPr="005043E7">
        <w:rPr>
          <w:rFonts w:asciiTheme="majorHAnsi" w:hAnsiTheme="majorHAnsi"/>
          <w:b/>
        </w:rPr>
        <w:t>Section 15</w:t>
      </w:r>
      <w:r>
        <w:rPr>
          <w:rFonts w:asciiTheme="majorHAnsi" w:hAnsiTheme="majorHAnsi"/>
        </w:rPr>
        <w:t xml:space="preserve">—Adds a representative from the </w:t>
      </w:r>
      <w:r w:rsidRPr="00453BBA">
        <w:rPr>
          <w:rFonts w:asciiTheme="majorHAnsi" w:hAnsiTheme="majorHAnsi"/>
        </w:rPr>
        <w:t>Pensacola Pen Wheels Inc. Employ the Handicapped Council</w:t>
      </w:r>
      <w:r>
        <w:rPr>
          <w:rFonts w:asciiTheme="majorHAnsi" w:hAnsiTheme="majorHAnsi"/>
        </w:rPr>
        <w:t xml:space="preserve"> to the Accessibility Advisory Council;</w:t>
      </w:r>
    </w:p>
    <w:p w:rsidR="00453BBA" w:rsidRDefault="00453BBA">
      <w:pPr>
        <w:rPr>
          <w:rFonts w:asciiTheme="majorHAnsi" w:hAnsiTheme="majorHAnsi"/>
        </w:rPr>
      </w:pPr>
      <w:r w:rsidRPr="005043E7">
        <w:rPr>
          <w:rFonts w:asciiTheme="majorHAnsi" w:hAnsiTheme="majorHAnsi"/>
          <w:b/>
        </w:rPr>
        <w:t>Section 16</w:t>
      </w:r>
      <w:r>
        <w:rPr>
          <w:rFonts w:asciiTheme="majorHAnsi" w:hAnsiTheme="majorHAnsi"/>
        </w:rPr>
        <w:t xml:space="preserve">—Authorizes $30K expenditure from the Building Code Compliance &amp; Mitigation Program to fund the Building Code </w:t>
      </w:r>
      <w:r w:rsidRPr="00453BBA">
        <w:rPr>
          <w:rFonts w:asciiTheme="majorHAnsi" w:hAnsiTheme="majorHAnsi"/>
        </w:rPr>
        <w:t xml:space="preserve">System </w:t>
      </w:r>
      <w:r w:rsidR="00752B88" w:rsidRPr="00453BBA">
        <w:rPr>
          <w:rFonts w:asciiTheme="majorHAnsi" w:hAnsiTheme="majorHAnsi"/>
        </w:rPr>
        <w:t>Uniform Implementation</w:t>
      </w:r>
      <w:r w:rsidRPr="00453BBA">
        <w:rPr>
          <w:rFonts w:asciiTheme="majorHAnsi" w:hAnsiTheme="majorHAnsi"/>
        </w:rPr>
        <w:t xml:space="preserve"> Evaluation Workgroup</w:t>
      </w:r>
      <w:r>
        <w:rPr>
          <w:rFonts w:asciiTheme="majorHAnsi" w:hAnsiTheme="majorHAnsi"/>
        </w:rPr>
        <w:t xml:space="preserve"> and authorizes $15K to fund non-binding interpretations of the Florida Fire Prevention Code;</w:t>
      </w:r>
    </w:p>
    <w:p w:rsidR="00453BBA" w:rsidRDefault="00453BBA">
      <w:pPr>
        <w:rPr>
          <w:rFonts w:asciiTheme="majorHAnsi" w:hAnsiTheme="majorHAnsi"/>
        </w:rPr>
      </w:pPr>
      <w:r w:rsidRPr="005043E7">
        <w:rPr>
          <w:rFonts w:asciiTheme="majorHAnsi" w:hAnsiTheme="majorHAnsi"/>
          <w:b/>
        </w:rPr>
        <w:t>Section 17</w:t>
      </w:r>
      <w:r>
        <w:rPr>
          <w:rFonts w:asciiTheme="majorHAnsi" w:hAnsiTheme="majorHAnsi"/>
        </w:rPr>
        <w:t xml:space="preserve"> </w:t>
      </w:r>
      <w:r w:rsidRPr="005043E7">
        <w:rPr>
          <w:rFonts w:asciiTheme="majorHAnsi" w:hAnsiTheme="majorHAnsi"/>
          <w:b/>
        </w:rPr>
        <w:t>(11)</w:t>
      </w:r>
      <w:r>
        <w:rPr>
          <w:rFonts w:asciiTheme="majorHAnsi" w:hAnsiTheme="majorHAnsi"/>
        </w:rPr>
        <w:t xml:space="preserve">—Allows joint meetings between local building code and fire code appeals boards with certain stipulations  and authorizes the combined board to make modifications or grant alternatives; </w:t>
      </w:r>
    </w:p>
    <w:p w:rsidR="00B20700" w:rsidRDefault="00453BBA">
      <w:pPr>
        <w:rPr>
          <w:rFonts w:asciiTheme="majorHAnsi" w:hAnsiTheme="majorHAnsi"/>
        </w:rPr>
      </w:pPr>
      <w:r w:rsidRPr="005043E7">
        <w:rPr>
          <w:rFonts w:asciiTheme="majorHAnsi" w:hAnsiTheme="majorHAnsi"/>
          <w:b/>
        </w:rPr>
        <w:t>Section 17 (15)</w:t>
      </w:r>
      <w:r>
        <w:rPr>
          <w:rFonts w:asciiTheme="majorHAnsi" w:hAnsiTheme="majorHAnsi"/>
        </w:rPr>
        <w:t xml:space="preserve">—Clarifies when mechanical equipment on a rooftop </w:t>
      </w:r>
      <w:r w:rsidR="00B20700">
        <w:rPr>
          <w:rFonts w:asciiTheme="majorHAnsi" w:hAnsiTheme="majorHAnsi"/>
        </w:rPr>
        <w:t xml:space="preserve">(during reroofing) </w:t>
      </w:r>
      <w:r>
        <w:rPr>
          <w:rFonts w:asciiTheme="majorHAnsi" w:hAnsiTheme="majorHAnsi"/>
        </w:rPr>
        <w:t>must be installed in accordance with the Florida Building Code</w:t>
      </w:r>
      <w:r w:rsidR="00B20700">
        <w:rPr>
          <w:rFonts w:asciiTheme="majorHAnsi" w:hAnsiTheme="majorHAnsi"/>
        </w:rPr>
        <w:t>;</w:t>
      </w:r>
    </w:p>
    <w:p w:rsidR="00453BBA" w:rsidRDefault="00B20700">
      <w:pPr>
        <w:rPr>
          <w:rFonts w:asciiTheme="majorHAnsi" w:hAnsiTheme="majorHAnsi"/>
        </w:rPr>
      </w:pPr>
      <w:r w:rsidRPr="005043E7">
        <w:rPr>
          <w:rFonts w:asciiTheme="majorHAnsi" w:hAnsiTheme="majorHAnsi"/>
          <w:b/>
        </w:rPr>
        <w:t>Section 17 (19)</w:t>
      </w:r>
      <w:r>
        <w:rPr>
          <w:rFonts w:asciiTheme="majorHAnsi" w:hAnsiTheme="majorHAnsi"/>
        </w:rPr>
        <w:t xml:space="preserve">—Clarifies that two fire service access elevators are required in high-rise facilities and allows for certain design trade-offs relative to corridor width, pressurization, floor-to-floor smoke control, and fire and smoke-rated openings; also specifies requirements for location and design of standpipes consistent with the Florida Fire </w:t>
      </w:r>
      <w:r w:rsidR="00752B88">
        <w:rPr>
          <w:rFonts w:asciiTheme="majorHAnsi" w:hAnsiTheme="majorHAnsi"/>
        </w:rPr>
        <w:t>Prevention</w:t>
      </w:r>
      <w:r>
        <w:rPr>
          <w:rFonts w:asciiTheme="majorHAnsi" w:hAnsiTheme="majorHAnsi"/>
        </w:rPr>
        <w:t xml:space="preserve"> Code and NFPA 14; </w:t>
      </w:r>
      <w:r w:rsidR="00453BBA">
        <w:rPr>
          <w:rFonts w:asciiTheme="majorHAnsi" w:hAnsiTheme="majorHAnsi"/>
        </w:rPr>
        <w:t xml:space="preserve"> </w:t>
      </w:r>
    </w:p>
    <w:p w:rsidR="00B20700" w:rsidRDefault="00B20700">
      <w:pPr>
        <w:rPr>
          <w:rFonts w:asciiTheme="majorHAnsi" w:hAnsiTheme="majorHAnsi"/>
        </w:rPr>
      </w:pPr>
      <w:r w:rsidRPr="005043E7">
        <w:rPr>
          <w:rFonts w:asciiTheme="majorHAnsi" w:hAnsiTheme="majorHAnsi"/>
          <w:b/>
        </w:rPr>
        <w:lastRenderedPageBreak/>
        <w:t>Section 18</w:t>
      </w:r>
      <w:r>
        <w:rPr>
          <w:rFonts w:asciiTheme="majorHAnsi" w:hAnsiTheme="majorHAnsi"/>
        </w:rPr>
        <w:t xml:space="preserve">—Expands the code interpretation panel </w:t>
      </w:r>
      <w:r w:rsidR="000E2F46">
        <w:rPr>
          <w:rFonts w:asciiTheme="majorHAnsi" w:hAnsiTheme="majorHAnsi"/>
        </w:rPr>
        <w:t>(</w:t>
      </w:r>
      <w:r>
        <w:rPr>
          <w:rFonts w:asciiTheme="majorHAnsi" w:hAnsiTheme="majorHAnsi"/>
        </w:rPr>
        <w:t>which conducts binding and non-binding interpretations of the Florida Building Code</w:t>
      </w:r>
      <w:r w:rsidR="000E2F46">
        <w:rPr>
          <w:rFonts w:asciiTheme="majorHAnsi" w:hAnsiTheme="majorHAnsi"/>
        </w:rPr>
        <w:t>)</w:t>
      </w:r>
      <w:r>
        <w:rPr>
          <w:rFonts w:asciiTheme="majorHAnsi" w:hAnsiTheme="majorHAnsi"/>
        </w:rPr>
        <w:t xml:space="preserve"> to include one architect and one engineer;</w:t>
      </w:r>
    </w:p>
    <w:p w:rsidR="00B20700" w:rsidRDefault="00B20700">
      <w:pPr>
        <w:rPr>
          <w:rFonts w:asciiTheme="majorHAnsi" w:hAnsiTheme="majorHAnsi"/>
        </w:rPr>
      </w:pPr>
      <w:r w:rsidRPr="005043E7">
        <w:rPr>
          <w:rFonts w:asciiTheme="majorHAnsi" w:hAnsiTheme="majorHAnsi"/>
          <w:b/>
        </w:rPr>
        <w:t>Section 19</w:t>
      </w:r>
      <w:r w:rsidR="000E2F46" w:rsidRPr="005043E7">
        <w:rPr>
          <w:rFonts w:asciiTheme="majorHAnsi" w:hAnsiTheme="majorHAnsi"/>
          <w:b/>
        </w:rPr>
        <w:t xml:space="preserve"> (1)</w:t>
      </w:r>
      <w:r>
        <w:rPr>
          <w:rFonts w:asciiTheme="majorHAnsi" w:hAnsiTheme="majorHAnsi"/>
        </w:rPr>
        <w:t>—</w:t>
      </w:r>
      <w:r w:rsidR="000E2F46">
        <w:rPr>
          <w:rFonts w:asciiTheme="majorHAnsi" w:hAnsiTheme="majorHAnsi"/>
        </w:rPr>
        <w:t>Authorizes</w:t>
      </w:r>
      <w:r>
        <w:rPr>
          <w:rFonts w:asciiTheme="majorHAnsi" w:hAnsiTheme="majorHAnsi"/>
        </w:rPr>
        <w:t xml:space="preserve"> disciplinary action against a</w:t>
      </w:r>
      <w:r w:rsidRPr="00B20700">
        <w:rPr>
          <w:rFonts w:asciiTheme="majorHAnsi" w:hAnsiTheme="majorHAnsi"/>
        </w:rPr>
        <w:t xml:space="preserve"> plans reviewer or building code administrator</w:t>
      </w:r>
      <w:r>
        <w:rPr>
          <w:rFonts w:asciiTheme="majorHAnsi" w:hAnsiTheme="majorHAnsi"/>
        </w:rPr>
        <w:t>’s license if he/she</w:t>
      </w:r>
      <w:r w:rsidRPr="00B20700">
        <w:rPr>
          <w:rFonts w:asciiTheme="majorHAnsi" w:hAnsiTheme="majorHAnsi"/>
        </w:rPr>
        <w:t xml:space="preserve"> fails to provide to the permit applicant a reason for denying, revoking, or requesting a modification, based on compliance with the Florida Building Code or lo</w:t>
      </w:r>
      <w:r>
        <w:rPr>
          <w:rFonts w:asciiTheme="majorHAnsi" w:hAnsiTheme="majorHAnsi"/>
        </w:rPr>
        <w:t>cal ordinance;</w:t>
      </w:r>
    </w:p>
    <w:p w:rsidR="000E2F46" w:rsidRDefault="000E2F46">
      <w:pPr>
        <w:rPr>
          <w:rFonts w:asciiTheme="majorHAnsi" w:hAnsiTheme="majorHAnsi"/>
        </w:rPr>
      </w:pPr>
      <w:r w:rsidRPr="005043E7">
        <w:rPr>
          <w:rFonts w:asciiTheme="majorHAnsi" w:hAnsiTheme="majorHAnsi"/>
          <w:b/>
        </w:rPr>
        <w:t>Section 19 (6)</w:t>
      </w:r>
      <w:r>
        <w:rPr>
          <w:rFonts w:asciiTheme="majorHAnsi" w:hAnsiTheme="majorHAnsi"/>
        </w:rPr>
        <w:t>—Allows phased-permitting for construction documents;</w:t>
      </w:r>
    </w:p>
    <w:p w:rsidR="000E2F46" w:rsidRDefault="000E2F46">
      <w:pPr>
        <w:rPr>
          <w:rFonts w:asciiTheme="majorHAnsi" w:hAnsiTheme="majorHAnsi"/>
        </w:rPr>
      </w:pPr>
      <w:r w:rsidRPr="005043E7">
        <w:rPr>
          <w:rFonts w:asciiTheme="majorHAnsi" w:hAnsiTheme="majorHAnsi"/>
          <w:b/>
        </w:rPr>
        <w:t>Section 20</w:t>
      </w:r>
      <w:r>
        <w:rPr>
          <w:rFonts w:asciiTheme="majorHAnsi" w:hAnsiTheme="majorHAnsi"/>
        </w:rPr>
        <w:t>—Clarifies responsibility between local governments, alarm system contractors, alarm monitoring companies and property owners with respect to alarm system registrations, civil penalties and fines;</w:t>
      </w:r>
    </w:p>
    <w:p w:rsidR="0019797C" w:rsidRDefault="000E2F46">
      <w:pPr>
        <w:rPr>
          <w:rFonts w:asciiTheme="majorHAnsi" w:hAnsiTheme="majorHAnsi"/>
        </w:rPr>
      </w:pPr>
      <w:r w:rsidRPr="005043E7">
        <w:rPr>
          <w:rFonts w:asciiTheme="majorHAnsi" w:hAnsiTheme="majorHAnsi"/>
          <w:b/>
        </w:rPr>
        <w:t>Section 21</w:t>
      </w:r>
      <w:r>
        <w:rPr>
          <w:rFonts w:asciiTheme="majorHAnsi" w:hAnsiTheme="majorHAnsi"/>
        </w:rPr>
        <w:t xml:space="preserve">—Specifies that local governments </w:t>
      </w:r>
      <w:r w:rsidR="0019797C">
        <w:rPr>
          <w:rFonts w:asciiTheme="majorHAnsi" w:hAnsiTheme="majorHAnsi"/>
        </w:rPr>
        <w:t xml:space="preserve">through enforcement of the Florida Building Code </w:t>
      </w:r>
      <w:r>
        <w:rPr>
          <w:rFonts w:asciiTheme="majorHAnsi" w:hAnsiTheme="majorHAnsi"/>
        </w:rPr>
        <w:t>may not charge additional fees for proof of licensure</w:t>
      </w:r>
      <w:r w:rsidR="0019797C">
        <w:rPr>
          <w:rFonts w:asciiTheme="majorHAnsi" w:hAnsiTheme="majorHAnsi"/>
        </w:rPr>
        <w:t>, recording or filing a license</w:t>
      </w:r>
      <w:r>
        <w:rPr>
          <w:rFonts w:asciiTheme="majorHAnsi" w:hAnsiTheme="majorHAnsi"/>
        </w:rPr>
        <w:t xml:space="preserve"> or </w:t>
      </w:r>
      <w:r w:rsidR="0019797C">
        <w:rPr>
          <w:rFonts w:asciiTheme="majorHAnsi" w:hAnsiTheme="majorHAnsi"/>
        </w:rPr>
        <w:t xml:space="preserve">recording, filing or providing evidence of </w:t>
      </w:r>
      <w:r>
        <w:rPr>
          <w:rFonts w:asciiTheme="majorHAnsi" w:hAnsiTheme="majorHAnsi"/>
        </w:rPr>
        <w:t>workers’ compensation insurance coverage</w:t>
      </w:r>
      <w:r w:rsidR="0019797C">
        <w:rPr>
          <w:rFonts w:asciiTheme="majorHAnsi" w:hAnsiTheme="majorHAnsi"/>
        </w:rPr>
        <w:t>;</w:t>
      </w:r>
    </w:p>
    <w:p w:rsidR="000E2F46" w:rsidRDefault="0019797C">
      <w:pPr>
        <w:rPr>
          <w:rFonts w:asciiTheme="majorHAnsi" w:hAnsiTheme="majorHAnsi"/>
        </w:rPr>
      </w:pPr>
      <w:r w:rsidRPr="005043E7">
        <w:rPr>
          <w:rFonts w:asciiTheme="majorHAnsi" w:hAnsiTheme="majorHAnsi"/>
          <w:b/>
        </w:rPr>
        <w:t>Section 22</w:t>
      </w:r>
      <w:r>
        <w:rPr>
          <w:rFonts w:asciiTheme="majorHAnsi" w:hAnsiTheme="majorHAnsi"/>
        </w:rPr>
        <w:t>—Adds Underwriters Laboratories, LLC and Intertek Testing Services NA, Inc.</w:t>
      </w:r>
      <w:r w:rsidR="000E2F46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to the approved list of evaluation entities for product approvals;</w:t>
      </w:r>
    </w:p>
    <w:p w:rsidR="0019797C" w:rsidRDefault="0019797C">
      <w:pPr>
        <w:rPr>
          <w:rFonts w:asciiTheme="majorHAnsi" w:hAnsiTheme="majorHAnsi"/>
        </w:rPr>
      </w:pPr>
      <w:r w:rsidRPr="005043E7">
        <w:rPr>
          <w:rFonts w:asciiTheme="majorHAnsi" w:hAnsiTheme="majorHAnsi"/>
          <w:b/>
        </w:rPr>
        <w:t>Section 23 (3c)</w:t>
      </w:r>
      <w:r>
        <w:rPr>
          <w:rFonts w:asciiTheme="majorHAnsi" w:hAnsiTheme="majorHAnsi"/>
        </w:rPr>
        <w:t xml:space="preserve">—Clarifies that a building permit for </w:t>
      </w:r>
      <w:r w:rsidRPr="0019797C">
        <w:rPr>
          <w:rFonts w:asciiTheme="majorHAnsi" w:hAnsiTheme="majorHAnsi"/>
        </w:rPr>
        <w:t>roof covering replacement or repair work associated  with the prevention of degradation of the residence</w:t>
      </w:r>
      <w:r>
        <w:rPr>
          <w:rFonts w:asciiTheme="majorHAnsi" w:hAnsiTheme="majorHAnsi"/>
        </w:rPr>
        <w:t xml:space="preserve"> does not trigger the requirement to upgrade opening protections of the residence; </w:t>
      </w:r>
    </w:p>
    <w:p w:rsidR="0019797C" w:rsidRDefault="0019797C">
      <w:pPr>
        <w:rPr>
          <w:rFonts w:asciiTheme="majorHAnsi" w:hAnsiTheme="majorHAnsi"/>
        </w:rPr>
      </w:pPr>
      <w:r w:rsidRPr="005043E7">
        <w:rPr>
          <w:rFonts w:asciiTheme="majorHAnsi" w:hAnsiTheme="majorHAnsi"/>
          <w:b/>
        </w:rPr>
        <w:t>Section 23 (4)-</w:t>
      </w:r>
      <w:r>
        <w:rPr>
          <w:rFonts w:asciiTheme="majorHAnsi" w:hAnsiTheme="majorHAnsi"/>
        </w:rPr>
        <w:t>Adds walls to the list of “deemed to comply” wind resistance requirements of the Florida Building Code;</w:t>
      </w:r>
    </w:p>
    <w:p w:rsidR="0019797C" w:rsidRDefault="0019797C">
      <w:pPr>
        <w:rPr>
          <w:rFonts w:asciiTheme="majorHAnsi" w:hAnsiTheme="majorHAnsi"/>
        </w:rPr>
      </w:pPr>
      <w:r w:rsidRPr="005043E7">
        <w:rPr>
          <w:rFonts w:asciiTheme="majorHAnsi" w:hAnsiTheme="majorHAnsi"/>
          <w:b/>
        </w:rPr>
        <w:t>Section 24</w:t>
      </w:r>
      <w:r>
        <w:rPr>
          <w:rFonts w:asciiTheme="majorHAnsi" w:hAnsiTheme="majorHAnsi"/>
        </w:rPr>
        <w:t>—Provides that a 10-year battery may be used in lieu of hard-wiring for a Level 1 Alteration in single-family dwellings and exempts certain wireless and multi-sensor devices from the 10-year battery requirement;</w:t>
      </w:r>
    </w:p>
    <w:p w:rsidR="009D2A8B" w:rsidRDefault="0019797C">
      <w:pPr>
        <w:rPr>
          <w:rFonts w:asciiTheme="majorHAnsi" w:hAnsiTheme="majorHAnsi"/>
        </w:rPr>
      </w:pPr>
      <w:r w:rsidRPr="005043E7">
        <w:rPr>
          <w:rFonts w:asciiTheme="majorHAnsi" w:hAnsiTheme="majorHAnsi"/>
          <w:b/>
        </w:rPr>
        <w:t>Section 25</w:t>
      </w:r>
      <w:r>
        <w:rPr>
          <w:rFonts w:asciiTheme="majorHAnsi" w:hAnsiTheme="majorHAnsi"/>
        </w:rPr>
        <w:t xml:space="preserve">—Delays the implementation of the mandatory blower door and mechanical ventilation testing until July 1, 2017; </w:t>
      </w:r>
      <w:r w:rsidR="009D2A8B">
        <w:rPr>
          <w:rFonts w:asciiTheme="majorHAnsi" w:hAnsiTheme="majorHAnsi"/>
        </w:rPr>
        <w:t>specifies the air change standards for blower door and mechanical ventilation testing;</w:t>
      </w:r>
    </w:p>
    <w:p w:rsidR="009D2A8B" w:rsidRDefault="009D2A8B">
      <w:pPr>
        <w:rPr>
          <w:rFonts w:asciiTheme="majorHAnsi" w:hAnsiTheme="majorHAnsi"/>
        </w:rPr>
      </w:pPr>
      <w:r w:rsidRPr="005043E7">
        <w:rPr>
          <w:rFonts w:asciiTheme="majorHAnsi" w:hAnsiTheme="majorHAnsi"/>
          <w:b/>
        </w:rPr>
        <w:t>Section 26</w:t>
      </w:r>
      <w:r>
        <w:rPr>
          <w:rFonts w:asciiTheme="majorHAnsi" w:hAnsiTheme="majorHAnsi"/>
        </w:rPr>
        <w:t xml:space="preserve">—Directs the local enforcement agency to accept duct and air infiltration tests conducted by energy raters, energy auditors and licensed HVAC contractors; </w:t>
      </w:r>
    </w:p>
    <w:p w:rsidR="0019797C" w:rsidRDefault="009D2A8B">
      <w:pPr>
        <w:rPr>
          <w:rFonts w:asciiTheme="majorHAnsi" w:hAnsiTheme="majorHAnsi"/>
        </w:rPr>
      </w:pPr>
      <w:r w:rsidRPr="005043E7">
        <w:rPr>
          <w:rFonts w:asciiTheme="majorHAnsi" w:hAnsiTheme="majorHAnsi"/>
          <w:b/>
        </w:rPr>
        <w:t>Section 27 (17)</w:t>
      </w:r>
      <w:r>
        <w:rPr>
          <w:rFonts w:asciiTheme="majorHAnsi" w:hAnsiTheme="majorHAnsi"/>
        </w:rPr>
        <w:t xml:space="preserve">—Requires the authority having jurisdiction to determine the minimum radio signal strength for fire department communications in high-rise buildings; requires existing buildings to </w:t>
      </w:r>
      <w:r w:rsidRPr="009D2A8B">
        <w:rPr>
          <w:rFonts w:asciiTheme="majorHAnsi" w:hAnsiTheme="majorHAnsi"/>
        </w:rPr>
        <w:t xml:space="preserve">comply with minimum radio strength for fire department communications and two-way radio system enhancement communications as required by the Florida Fire Prevention Code </w:t>
      </w:r>
      <w:r>
        <w:rPr>
          <w:rFonts w:asciiTheme="majorHAnsi" w:hAnsiTheme="majorHAnsi"/>
        </w:rPr>
        <w:t xml:space="preserve">by </w:t>
      </w:r>
      <w:r w:rsidRPr="009D2A8B">
        <w:rPr>
          <w:rFonts w:asciiTheme="majorHAnsi" w:hAnsiTheme="majorHAnsi"/>
        </w:rPr>
        <w:t>January 1, 2022</w:t>
      </w:r>
      <w:r>
        <w:rPr>
          <w:rFonts w:asciiTheme="majorHAnsi" w:hAnsiTheme="majorHAnsi"/>
        </w:rPr>
        <w:t>; specifies that e</w:t>
      </w:r>
      <w:r w:rsidRPr="009D2A8B">
        <w:rPr>
          <w:rFonts w:asciiTheme="majorHAnsi" w:hAnsiTheme="majorHAnsi"/>
        </w:rPr>
        <w:t>xisting apartment buildings are not required to comply until January 1, 2025</w:t>
      </w:r>
      <w:r>
        <w:rPr>
          <w:rFonts w:asciiTheme="majorHAnsi" w:hAnsiTheme="majorHAnsi"/>
        </w:rPr>
        <w:t>;</w:t>
      </w:r>
    </w:p>
    <w:p w:rsidR="005043E7" w:rsidRDefault="009D2A8B">
      <w:pPr>
        <w:rPr>
          <w:rFonts w:asciiTheme="majorHAnsi" w:hAnsiTheme="majorHAnsi"/>
        </w:rPr>
      </w:pPr>
      <w:r w:rsidRPr="005043E7">
        <w:rPr>
          <w:rFonts w:asciiTheme="majorHAnsi" w:hAnsiTheme="majorHAnsi"/>
          <w:b/>
        </w:rPr>
        <w:t>Section 27 (18)</w:t>
      </w:r>
      <w:r>
        <w:rPr>
          <w:rFonts w:asciiTheme="majorHAnsi" w:hAnsiTheme="majorHAnsi"/>
        </w:rPr>
        <w:t>—Clarifies when Areas of Refuge are required;</w:t>
      </w:r>
    </w:p>
    <w:p w:rsidR="009D2A8B" w:rsidRDefault="009D2A8B">
      <w:pPr>
        <w:rPr>
          <w:rFonts w:asciiTheme="majorHAnsi" w:hAnsiTheme="majorHAnsi"/>
        </w:rPr>
      </w:pPr>
      <w:r w:rsidRPr="005043E7">
        <w:rPr>
          <w:rFonts w:asciiTheme="majorHAnsi" w:hAnsiTheme="majorHAnsi"/>
          <w:b/>
        </w:rPr>
        <w:lastRenderedPageBreak/>
        <w:t>Section 28</w:t>
      </w:r>
      <w:r>
        <w:rPr>
          <w:rFonts w:asciiTheme="majorHAnsi" w:hAnsiTheme="majorHAnsi"/>
        </w:rPr>
        <w:t xml:space="preserve">—Authorizes </w:t>
      </w:r>
      <w:r w:rsidRPr="009D2A8B">
        <w:rPr>
          <w:rFonts w:asciiTheme="majorHAnsi" w:hAnsiTheme="majorHAnsi"/>
        </w:rPr>
        <w:t>local fire official</w:t>
      </w:r>
      <w:r w:rsidR="008402DD">
        <w:rPr>
          <w:rFonts w:asciiTheme="majorHAnsi" w:hAnsiTheme="majorHAnsi"/>
        </w:rPr>
        <w:t>s</w:t>
      </w:r>
      <w:r w:rsidRPr="009D2A8B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to</w:t>
      </w:r>
      <w:r w:rsidRPr="009D2A8B">
        <w:rPr>
          <w:rFonts w:asciiTheme="majorHAnsi" w:hAnsiTheme="majorHAnsi"/>
        </w:rPr>
        <w:t xml:space="preserve"> consider NFPA  101A, Guide on Alternative Solutions to Life Safety, adopted by  the State Fire Marshal, as acceptable systems for the identification of low-cost, reasonable alternatives</w:t>
      </w:r>
      <w:r w:rsidR="008402DD">
        <w:rPr>
          <w:rFonts w:asciiTheme="majorHAnsi" w:hAnsiTheme="majorHAnsi"/>
        </w:rPr>
        <w:t xml:space="preserve">; authorizes the </w:t>
      </w:r>
      <w:r w:rsidRPr="009D2A8B">
        <w:rPr>
          <w:rFonts w:asciiTheme="majorHAnsi" w:hAnsiTheme="majorHAnsi"/>
        </w:rPr>
        <w:t xml:space="preserve">Fire Safety Evaluation System for Board </w:t>
      </w:r>
      <w:r w:rsidR="008402DD">
        <w:rPr>
          <w:rFonts w:asciiTheme="majorHAnsi" w:hAnsiTheme="majorHAnsi"/>
        </w:rPr>
        <w:t>a</w:t>
      </w:r>
      <w:r w:rsidRPr="009D2A8B">
        <w:rPr>
          <w:rFonts w:asciiTheme="majorHAnsi" w:hAnsiTheme="majorHAnsi"/>
        </w:rPr>
        <w:t>nd Care Facilities using prompt evacuation capabilities parameter values on existing residential high-rise buildings</w:t>
      </w:r>
      <w:r w:rsidR="008402DD">
        <w:rPr>
          <w:rFonts w:asciiTheme="majorHAnsi" w:hAnsiTheme="majorHAnsi"/>
        </w:rPr>
        <w:t>;</w:t>
      </w:r>
    </w:p>
    <w:p w:rsidR="008402DD" w:rsidRDefault="008402DD">
      <w:pPr>
        <w:rPr>
          <w:rFonts w:asciiTheme="majorHAnsi" w:hAnsiTheme="majorHAnsi"/>
        </w:rPr>
      </w:pPr>
      <w:r w:rsidRPr="005043E7">
        <w:rPr>
          <w:rFonts w:asciiTheme="majorHAnsi" w:hAnsiTheme="majorHAnsi"/>
          <w:b/>
        </w:rPr>
        <w:t>Section 29</w:t>
      </w:r>
      <w:r>
        <w:rPr>
          <w:rFonts w:asciiTheme="majorHAnsi" w:hAnsiTheme="majorHAnsi"/>
        </w:rPr>
        <w:t xml:space="preserve">—Provides that </w:t>
      </w:r>
      <w:r w:rsidRPr="008402DD">
        <w:rPr>
          <w:rFonts w:asciiTheme="majorHAnsi" w:hAnsiTheme="majorHAnsi"/>
        </w:rPr>
        <w:t xml:space="preserve">a fire protection contractor </w:t>
      </w:r>
      <w:r w:rsidR="00752B88">
        <w:rPr>
          <w:rFonts w:asciiTheme="majorHAnsi" w:hAnsiTheme="majorHAnsi"/>
        </w:rPr>
        <w:t>may s</w:t>
      </w:r>
      <w:r w:rsidRPr="008402DD">
        <w:rPr>
          <w:rFonts w:asciiTheme="majorHAnsi" w:hAnsiTheme="majorHAnsi"/>
        </w:rPr>
        <w:t>ubcontract with companies providing advanced technical services  for the installation, servicing, and maintenance of fire pump  control panels and pump drivers</w:t>
      </w:r>
      <w:r>
        <w:rPr>
          <w:rFonts w:asciiTheme="majorHAnsi" w:hAnsiTheme="majorHAnsi"/>
        </w:rPr>
        <w:t>;</w:t>
      </w:r>
    </w:p>
    <w:p w:rsidR="008402DD" w:rsidRDefault="008402DD">
      <w:pPr>
        <w:rPr>
          <w:rFonts w:asciiTheme="majorHAnsi" w:hAnsiTheme="majorHAnsi"/>
        </w:rPr>
      </w:pPr>
      <w:r w:rsidRPr="005043E7">
        <w:rPr>
          <w:rFonts w:asciiTheme="majorHAnsi" w:hAnsiTheme="majorHAnsi"/>
          <w:b/>
        </w:rPr>
        <w:t>Section 30</w:t>
      </w:r>
      <w:r>
        <w:rPr>
          <w:rFonts w:asciiTheme="majorHAnsi" w:hAnsiTheme="majorHAnsi"/>
        </w:rPr>
        <w:t>—Creates t</w:t>
      </w:r>
      <w:r w:rsidRPr="008402DD">
        <w:rPr>
          <w:rFonts w:asciiTheme="majorHAnsi" w:hAnsiTheme="majorHAnsi"/>
        </w:rPr>
        <w:t>he Calder Sloan Swimming Pool Electrical Safety Task Force established within the Florida Building Commission</w:t>
      </w:r>
      <w:r>
        <w:rPr>
          <w:rFonts w:asciiTheme="majorHAnsi" w:hAnsiTheme="majorHAnsi"/>
        </w:rPr>
        <w:t>;</w:t>
      </w:r>
    </w:p>
    <w:p w:rsidR="008402DD" w:rsidRDefault="008402DD">
      <w:pPr>
        <w:rPr>
          <w:rFonts w:asciiTheme="majorHAnsi" w:hAnsiTheme="majorHAnsi"/>
        </w:rPr>
      </w:pPr>
      <w:r w:rsidRPr="005043E7">
        <w:rPr>
          <w:rFonts w:asciiTheme="majorHAnsi" w:hAnsiTheme="majorHAnsi"/>
          <w:b/>
        </w:rPr>
        <w:t>Section 31</w:t>
      </w:r>
      <w:r>
        <w:rPr>
          <w:rFonts w:asciiTheme="majorHAnsi" w:hAnsiTheme="majorHAnsi"/>
        </w:rPr>
        <w:t xml:space="preserve">—Creates the </w:t>
      </w:r>
      <w:r w:rsidRPr="008402DD">
        <w:rPr>
          <w:rFonts w:asciiTheme="majorHAnsi" w:hAnsiTheme="majorHAnsi"/>
        </w:rPr>
        <w:t>Construction Industry Workforce Task Force</w:t>
      </w:r>
      <w:r>
        <w:rPr>
          <w:rFonts w:asciiTheme="majorHAnsi" w:hAnsiTheme="majorHAnsi"/>
        </w:rPr>
        <w:t xml:space="preserve"> within the </w:t>
      </w:r>
      <w:r w:rsidRPr="008402DD">
        <w:rPr>
          <w:rFonts w:asciiTheme="majorHAnsi" w:hAnsiTheme="majorHAnsi"/>
        </w:rPr>
        <w:t>University of Florida M. E. Rinker, Sr.,</w:t>
      </w:r>
      <w:r w:rsidRPr="008402DD">
        <w:t xml:space="preserve"> </w:t>
      </w:r>
      <w:r w:rsidRPr="008402DD">
        <w:rPr>
          <w:rFonts w:asciiTheme="majorHAnsi" w:hAnsiTheme="majorHAnsi"/>
        </w:rPr>
        <w:t>School of Construction Management</w:t>
      </w:r>
      <w:r>
        <w:rPr>
          <w:rFonts w:asciiTheme="majorHAnsi" w:hAnsiTheme="majorHAnsi"/>
        </w:rPr>
        <w:t xml:space="preserve"> and specifies the goals and composition of the task force; provides $50K to fund the task force from the building permit surcharge (Building Code Compliance &amp; Mitigation Program);</w:t>
      </w:r>
    </w:p>
    <w:p w:rsidR="008402DD" w:rsidRDefault="008402DD">
      <w:pPr>
        <w:rPr>
          <w:rFonts w:asciiTheme="majorHAnsi" w:hAnsiTheme="majorHAnsi"/>
        </w:rPr>
      </w:pPr>
      <w:r w:rsidRPr="005043E7">
        <w:rPr>
          <w:rFonts w:asciiTheme="majorHAnsi" w:hAnsiTheme="majorHAnsi"/>
          <w:b/>
        </w:rPr>
        <w:t>Section 32</w:t>
      </w:r>
      <w:r>
        <w:rPr>
          <w:rFonts w:asciiTheme="majorHAnsi" w:hAnsiTheme="majorHAnsi"/>
        </w:rPr>
        <w:t>—Directs the Florida Building Commission to define “fire separation distance” to allow for zero lot line development; (reverts to building code in effect on June 30, 2015)</w:t>
      </w:r>
    </w:p>
    <w:p w:rsidR="008402DD" w:rsidRDefault="008402DD">
      <w:pPr>
        <w:rPr>
          <w:rFonts w:asciiTheme="majorHAnsi" w:hAnsiTheme="majorHAnsi"/>
        </w:rPr>
      </w:pPr>
      <w:r w:rsidRPr="005043E7">
        <w:rPr>
          <w:rFonts w:asciiTheme="majorHAnsi" w:hAnsiTheme="majorHAnsi"/>
          <w:b/>
        </w:rPr>
        <w:t>Section 33</w:t>
      </w:r>
      <w:r>
        <w:rPr>
          <w:rFonts w:asciiTheme="majorHAnsi" w:hAnsiTheme="majorHAnsi"/>
        </w:rPr>
        <w:t>—Directs the Florida Building Commission to amend the code to allow openings and roof overhang projections from the exterior wall of a building located on a zero lot line; (reverts to building code in effect on June 30, 2015);</w:t>
      </w:r>
    </w:p>
    <w:p w:rsidR="00752B88" w:rsidRDefault="00752B88">
      <w:pPr>
        <w:rPr>
          <w:rFonts w:asciiTheme="majorHAnsi" w:hAnsiTheme="majorHAnsi"/>
        </w:rPr>
      </w:pPr>
      <w:r w:rsidRPr="005043E7">
        <w:rPr>
          <w:rFonts w:asciiTheme="majorHAnsi" w:hAnsiTheme="majorHAnsi"/>
          <w:b/>
        </w:rPr>
        <w:t>Section 34</w:t>
      </w:r>
      <w:r>
        <w:rPr>
          <w:rFonts w:asciiTheme="majorHAnsi" w:hAnsiTheme="majorHAnsi"/>
        </w:rPr>
        <w:t xml:space="preserve">—Directs the Florida Building Commission to adopt </w:t>
      </w:r>
      <w:r w:rsidRPr="00752B88">
        <w:rPr>
          <w:rFonts w:asciiTheme="majorHAnsi" w:hAnsiTheme="majorHAnsi"/>
        </w:rPr>
        <w:t>Section 406 relating to the Alternative Performance Path, Energy Rating Index of the 2015 International Energy Conservation Code</w:t>
      </w:r>
      <w:r>
        <w:rPr>
          <w:rFonts w:asciiTheme="majorHAnsi" w:hAnsiTheme="majorHAnsi"/>
        </w:rPr>
        <w:t xml:space="preserve"> </w:t>
      </w:r>
      <w:r w:rsidRPr="00752B88">
        <w:rPr>
          <w:rFonts w:asciiTheme="majorHAnsi" w:hAnsiTheme="majorHAnsi"/>
        </w:rPr>
        <w:t>as an option for demonstrating compliance with the Florida Building Code, Energy Conservation</w:t>
      </w:r>
      <w:r>
        <w:rPr>
          <w:rFonts w:asciiTheme="majorHAnsi" w:hAnsiTheme="majorHAnsi"/>
        </w:rPr>
        <w:t xml:space="preserve">; specifies Energy Rating Index for Climate Zones 1 &amp; 2 shall be 58; directs the Commission to </w:t>
      </w:r>
      <w:r w:rsidRPr="00752B88">
        <w:rPr>
          <w:rFonts w:asciiTheme="majorHAnsi" w:hAnsiTheme="majorHAnsi"/>
        </w:rPr>
        <w:t>determine by October 1, 2016, whether onsite renewable power generation may be used for compliance</w:t>
      </w:r>
      <w:r>
        <w:rPr>
          <w:rFonts w:asciiTheme="majorHAnsi" w:hAnsiTheme="majorHAnsi"/>
        </w:rPr>
        <w:t>;</w:t>
      </w:r>
    </w:p>
    <w:p w:rsidR="00752B88" w:rsidRDefault="00752B88">
      <w:pPr>
        <w:rPr>
          <w:rFonts w:asciiTheme="majorHAnsi" w:hAnsiTheme="majorHAnsi"/>
        </w:rPr>
      </w:pPr>
      <w:r w:rsidRPr="005043E7">
        <w:rPr>
          <w:rFonts w:asciiTheme="majorHAnsi" w:hAnsiTheme="majorHAnsi"/>
          <w:b/>
        </w:rPr>
        <w:t>Section 35</w:t>
      </w:r>
      <w:r>
        <w:rPr>
          <w:rFonts w:asciiTheme="majorHAnsi" w:hAnsiTheme="majorHAnsi"/>
        </w:rPr>
        <w:t>—Directs the Florida Building Commission to adopt specific shower lining requirements into the Florida Building Code;</w:t>
      </w:r>
    </w:p>
    <w:p w:rsidR="00752B88" w:rsidRDefault="00752B88">
      <w:pPr>
        <w:rPr>
          <w:rFonts w:asciiTheme="majorHAnsi" w:hAnsiTheme="majorHAnsi"/>
        </w:rPr>
      </w:pPr>
      <w:r w:rsidRPr="005043E7">
        <w:rPr>
          <w:rFonts w:asciiTheme="majorHAnsi" w:hAnsiTheme="majorHAnsi"/>
          <w:b/>
        </w:rPr>
        <w:t>Section 36</w:t>
      </w:r>
      <w:r>
        <w:rPr>
          <w:rFonts w:asciiTheme="majorHAnsi" w:hAnsiTheme="majorHAnsi"/>
        </w:rPr>
        <w:t xml:space="preserve">—Directs the Florida Building Commission to adopt minimum fire separation distances </w:t>
      </w:r>
      <w:r w:rsidRPr="00752B88">
        <w:rPr>
          <w:rFonts w:asciiTheme="majorHAnsi" w:hAnsiTheme="majorHAnsi"/>
        </w:rPr>
        <w:t>for non-fire resistant rated exterior walls</w:t>
      </w:r>
      <w:r>
        <w:rPr>
          <w:rFonts w:asciiTheme="majorHAnsi" w:hAnsiTheme="majorHAnsi"/>
        </w:rPr>
        <w:t>;</w:t>
      </w:r>
    </w:p>
    <w:p w:rsidR="00752B88" w:rsidRDefault="00752B88">
      <w:pPr>
        <w:rPr>
          <w:rFonts w:asciiTheme="majorHAnsi" w:hAnsiTheme="majorHAnsi"/>
        </w:rPr>
      </w:pPr>
      <w:r w:rsidRPr="005043E7">
        <w:rPr>
          <w:rFonts w:asciiTheme="majorHAnsi" w:hAnsiTheme="majorHAnsi"/>
          <w:b/>
        </w:rPr>
        <w:t>Section 37</w:t>
      </w:r>
      <w:r>
        <w:rPr>
          <w:rFonts w:asciiTheme="majorHAnsi" w:hAnsiTheme="majorHAnsi"/>
        </w:rPr>
        <w:t xml:space="preserve">—Requires </w:t>
      </w:r>
      <w:r w:rsidRPr="00752B88">
        <w:rPr>
          <w:rFonts w:asciiTheme="majorHAnsi" w:hAnsiTheme="majorHAnsi"/>
        </w:rPr>
        <w:t>a restaurant, cafeteria, or similar dining facility, including an associated commercial kitchen, to have sprinklers only if it has a fire area occupancy  load of 200</w:t>
      </w:r>
      <w:r w:rsidR="005043E7">
        <w:rPr>
          <w:rFonts w:asciiTheme="majorHAnsi" w:hAnsiTheme="majorHAnsi"/>
        </w:rPr>
        <w:t>+</w:t>
      </w:r>
      <w:r w:rsidRPr="00752B88">
        <w:rPr>
          <w:rFonts w:asciiTheme="majorHAnsi" w:hAnsiTheme="majorHAnsi"/>
        </w:rPr>
        <w:t xml:space="preserve"> patrons</w:t>
      </w:r>
      <w:r w:rsidR="005043E7">
        <w:rPr>
          <w:rFonts w:asciiTheme="majorHAnsi" w:hAnsiTheme="majorHAnsi"/>
        </w:rPr>
        <w:t>;</w:t>
      </w:r>
    </w:p>
    <w:p w:rsidR="00752B88" w:rsidRDefault="00752B88">
      <w:pPr>
        <w:rPr>
          <w:rFonts w:asciiTheme="majorHAnsi" w:hAnsiTheme="majorHAnsi"/>
        </w:rPr>
      </w:pPr>
      <w:r w:rsidRPr="005043E7">
        <w:rPr>
          <w:rFonts w:asciiTheme="majorHAnsi" w:hAnsiTheme="majorHAnsi"/>
          <w:b/>
        </w:rPr>
        <w:t>Sections 38 &amp; 39</w:t>
      </w:r>
      <w:r>
        <w:rPr>
          <w:rFonts w:asciiTheme="majorHAnsi" w:hAnsiTheme="majorHAnsi"/>
        </w:rPr>
        <w:t xml:space="preserve">—Mandates that a </w:t>
      </w:r>
      <w:r w:rsidRPr="00752B88">
        <w:rPr>
          <w:rFonts w:asciiTheme="majorHAnsi" w:hAnsiTheme="majorHAnsi"/>
        </w:rPr>
        <w:t xml:space="preserve">county </w:t>
      </w:r>
      <w:r>
        <w:rPr>
          <w:rFonts w:asciiTheme="majorHAnsi" w:hAnsiTheme="majorHAnsi"/>
        </w:rPr>
        <w:t xml:space="preserve">or local enforcement agency </w:t>
      </w:r>
      <w:r w:rsidRPr="00752B88">
        <w:rPr>
          <w:rFonts w:asciiTheme="majorHAnsi" w:hAnsiTheme="majorHAnsi"/>
        </w:rPr>
        <w:t xml:space="preserve">that issues building permits shall post each </w:t>
      </w:r>
      <w:r>
        <w:rPr>
          <w:rFonts w:asciiTheme="majorHAnsi" w:hAnsiTheme="majorHAnsi"/>
        </w:rPr>
        <w:t>t</w:t>
      </w:r>
      <w:r w:rsidRPr="00752B88">
        <w:rPr>
          <w:rFonts w:asciiTheme="majorHAnsi" w:hAnsiTheme="majorHAnsi"/>
        </w:rPr>
        <w:t>ype of building permit application on its website</w:t>
      </w:r>
      <w:r>
        <w:rPr>
          <w:rFonts w:asciiTheme="majorHAnsi" w:hAnsiTheme="majorHAnsi"/>
        </w:rPr>
        <w:t xml:space="preserve"> and that c</w:t>
      </w:r>
      <w:r w:rsidRPr="00752B88">
        <w:rPr>
          <w:rFonts w:asciiTheme="majorHAnsi" w:hAnsiTheme="majorHAnsi"/>
        </w:rPr>
        <w:t>ompleted  applications must be able to be submitted electronically to the  county building department</w:t>
      </w:r>
      <w:r>
        <w:rPr>
          <w:rFonts w:asciiTheme="majorHAnsi" w:hAnsiTheme="majorHAnsi"/>
        </w:rPr>
        <w:t xml:space="preserve">; specifies various formats for electronic submission; and, </w:t>
      </w:r>
    </w:p>
    <w:p w:rsidR="005923FD" w:rsidRPr="005923FD" w:rsidRDefault="00752B88">
      <w:pPr>
        <w:rPr>
          <w:rFonts w:asciiTheme="majorHAnsi" w:hAnsiTheme="majorHAnsi"/>
        </w:rPr>
      </w:pPr>
      <w:r w:rsidRPr="005043E7">
        <w:rPr>
          <w:rFonts w:asciiTheme="majorHAnsi" w:hAnsiTheme="majorHAnsi"/>
          <w:b/>
        </w:rPr>
        <w:t>Section 40</w:t>
      </w:r>
      <w:r>
        <w:rPr>
          <w:rFonts w:asciiTheme="majorHAnsi" w:hAnsiTheme="majorHAnsi"/>
        </w:rPr>
        <w:t xml:space="preserve">—Provides an effective date of July 1, 2016. </w:t>
      </w:r>
    </w:p>
    <w:p w:rsidR="001E4298" w:rsidRPr="005923FD" w:rsidRDefault="001E4298">
      <w:pPr>
        <w:rPr>
          <w:rFonts w:asciiTheme="majorHAnsi" w:hAnsiTheme="majorHAnsi"/>
        </w:rPr>
      </w:pPr>
    </w:p>
    <w:sectPr w:rsidR="001E4298" w:rsidRPr="005923FD" w:rsidSect="00AD5E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923FD"/>
    <w:rsid w:val="000E2F46"/>
    <w:rsid w:val="0019797C"/>
    <w:rsid w:val="001E4298"/>
    <w:rsid w:val="002A46C4"/>
    <w:rsid w:val="00453BBA"/>
    <w:rsid w:val="005043E7"/>
    <w:rsid w:val="005923FD"/>
    <w:rsid w:val="005A04CE"/>
    <w:rsid w:val="00752B88"/>
    <w:rsid w:val="008402DD"/>
    <w:rsid w:val="009D2A8B"/>
    <w:rsid w:val="00AD5E26"/>
    <w:rsid w:val="00B20700"/>
    <w:rsid w:val="00B77C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5E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1197</Words>
  <Characters>6828</Characters>
  <Application>Microsoft Office Word</Application>
  <DocSecurity>0</DocSecurity>
  <Lines>56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FEPA</dc:creator>
  <cp:lastModifiedBy>Kathy.Curatolo</cp:lastModifiedBy>
  <cp:revision>2</cp:revision>
  <cp:lastPrinted>2016-03-14T20:21:00Z</cp:lastPrinted>
  <dcterms:created xsi:type="dcterms:W3CDTF">2016-03-14T20:25:00Z</dcterms:created>
  <dcterms:modified xsi:type="dcterms:W3CDTF">2016-03-14T20:25:00Z</dcterms:modified>
</cp:coreProperties>
</file>