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2EB" w:rsidRDefault="001E1265">
      <w:bookmarkStart w:id="0" w:name="_GoBack"/>
      <w:r>
        <w:rPr>
          <w:noProof/>
        </w:rPr>
        <w:drawing>
          <wp:anchor distT="47625" distB="47625" distL="47625" distR="47625" simplePos="0" relativeHeight="251659264" behindDoc="0" locked="0" layoutInCell="1" allowOverlap="0">
            <wp:simplePos x="0" y="0"/>
            <wp:positionH relativeFrom="column">
              <wp:posOffset>-99695</wp:posOffset>
            </wp:positionH>
            <wp:positionV relativeFrom="line">
              <wp:posOffset>-384175</wp:posOffset>
            </wp:positionV>
            <wp:extent cx="5524500" cy="1374775"/>
            <wp:effectExtent l="0" t="0" r="0" b="0"/>
            <wp:wrapSquare wrapText="bothSides"/>
            <wp:docPr id="2" name="Picture 2" descr="http://files.constantcontact.com/85a2c058001/e4f5ad06-dccd-4059-8e82-250fb4ffad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constantcontact.com/85a2c058001/e4f5ad06-dccd-4059-8e82-250fb4ffade2.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5524500" cy="1374775"/>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1E1265" w:rsidRDefault="001E1265"/>
    <w:p w:rsidR="001E1265" w:rsidRDefault="001E1265"/>
    <w:p w:rsidR="001E1265" w:rsidRDefault="001E1265"/>
    <w:p w:rsidR="001E1265" w:rsidRDefault="001E1265"/>
    <w:p w:rsidR="001E1265" w:rsidRDefault="001E1265"/>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1E1265" w:rsidTr="001E1265">
        <w:trPr>
          <w:tblCellSpacing w:w="0" w:type="dxa"/>
          <w:jc w:val="center"/>
        </w:trPr>
        <w:tc>
          <w:tcPr>
            <w:tcW w:w="5000" w:type="pct"/>
            <w:vAlign w:val="center"/>
            <w:hideMark/>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000"/>
            </w:tblGrid>
            <w:tr w:rsidR="001E1265">
              <w:trPr>
                <w:tblCellSpacing w:w="0" w:type="dxa"/>
              </w:trPr>
              <w:tc>
                <w:tcPr>
                  <w:tcW w:w="0" w:type="auto"/>
                  <w:vAlign w:val="center"/>
                </w:tcPr>
                <w:p w:rsidR="001E1265" w:rsidRDefault="001E1265">
                  <w:pPr>
                    <w:spacing w:before="90" w:after="90"/>
                    <w:jc w:val="center"/>
                    <w:rPr>
                      <w:rFonts w:ascii="Arial" w:hAnsi="Arial" w:cs="Arial"/>
                      <w:b/>
                      <w:bCs/>
                      <w:color w:val="000000"/>
                      <w:sz w:val="28"/>
                      <w:szCs w:val="28"/>
                    </w:rPr>
                  </w:pPr>
                  <w:r>
                    <w:rPr>
                      <w:rFonts w:ascii="Arial" w:hAnsi="Arial" w:cs="Arial"/>
                      <w:b/>
                      <w:bCs/>
                      <w:color w:val="000000"/>
                      <w:sz w:val="28"/>
                      <w:szCs w:val="28"/>
                    </w:rPr>
                    <w:t>Luxury Market Surges in January</w:t>
                  </w:r>
                </w:p>
                <w:p w:rsidR="001E1265" w:rsidRDefault="001E1265">
                  <w:pPr>
                    <w:spacing w:before="90" w:after="90"/>
                    <w:jc w:val="center"/>
                    <w:rPr>
                      <w:rFonts w:ascii="Arial" w:hAnsi="Arial" w:cs="Arial"/>
                      <w:b/>
                      <w:bCs/>
                      <w:color w:val="000000"/>
                      <w:sz w:val="28"/>
                      <w:szCs w:val="28"/>
                    </w:rPr>
                  </w:pPr>
                </w:p>
                <w:p w:rsidR="001E1265" w:rsidRDefault="001E1265">
                  <w:pPr>
                    <w:spacing w:before="90" w:after="90"/>
                    <w:rPr>
                      <w:rStyle w:val="Emphasis"/>
                      <w:sz w:val="20"/>
                      <w:szCs w:val="20"/>
                    </w:rPr>
                  </w:pPr>
                  <w:r>
                    <w:rPr>
                      <w:rStyle w:val="Emphasis"/>
                    </w:rPr>
                    <w:t xml:space="preserve">Contacts:  </w:t>
                  </w:r>
                </w:p>
                <w:p w:rsidR="001E1265" w:rsidRDefault="001E1265">
                  <w:pPr>
                    <w:spacing w:before="90" w:after="90"/>
                  </w:pPr>
                  <w:r>
                    <w:rPr>
                      <w:rFonts w:ascii="Arial" w:hAnsi="Arial" w:cs="Arial"/>
                      <w:i/>
                      <w:iCs/>
                      <w:color w:val="000000"/>
                      <w:sz w:val="20"/>
                      <w:szCs w:val="20"/>
                    </w:rPr>
                    <w:t xml:space="preserve">Brenda </w:t>
                  </w:r>
                  <w:proofErr w:type="spellStart"/>
                  <w:r>
                    <w:rPr>
                      <w:rFonts w:ascii="Arial" w:hAnsi="Arial" w:cs="Arial"/>
                      <w:i/>
                      <w:iCs/>
                      <w:color w:val="000000"/>
                      <w:sz w:val="20"/>
                      <w:szCs w:val="20"/>
                    </w:rPr>
                    <w:t>Fioretti</w:t>
                  </w:r>
                  <w:proofErr w:type="spellEnd"/>
                  <w:r>
                    <w:rPr>
                      <w:rFonts w:ascii="Arial" w:hAnsi="Arial" w:cs="Arial"/>
                      <w:i/>
                      <w:iCs/>
                      <w:color w:val="000000"/>
                      <w:sz w:val="20"/>
                      <w:szCs w:val="20"/>
                    </w:rPr>
                    <w:t>, NABOR® Media Relations Committee Chair, (239) 597-1666</w:t>
                  </w:r>
                </w:p>
                <w:p w:rsidR="001E1265" w:rsidRDefault="001E1265">
                  <w:pPr>
                    <w:spacing w:before="90" w:after="90"/>
                    <w:rPr>
                      <w:rFonts w:ascii="Arial" w:hAnsi="Arial" w:cs="Arial"/>
                      <w:i/>
                      <w:iCs/>
                      <w:color w:val="000000"/>
                      <w:sz w:val="20"/>
                      <w:szCs w:val="20"/>
                    </w:rPr>
                  </w:pPr>
                  <w:r>
                    <w:rPr>
                      <w:rFonts w:ascii="Arial" w:hAnsi="Arial" w:cs="Arial"/>
                      <w:i/>
                      <w:iCs/>
                      <w:color w:val="000000"/>
                      <w:sz w:val="20"/>
                      <w:szCs w:val="20"/>
                    </w:rPr>
                    <w:t>Marcia Albert, NABOR® Director of Marketing, (239) 597-1666</w:t>
                  </w:r>
                </w:p>
                <w:p w:rsidR="001E1265" w:rsidRDefault="001E1265">
                  <w:pPr>
                    <w:spacing w:before="90" w:after="90"/>
                    <w:rPr>
                      <w:rFonts w:ascii="Arial" w:hAnsi="Arial" w:cs="Arial"/>
                      <w:color w:val="000000"/>
                      <w:sz w:val="20"/>
                      <w:szCs w:val="20"/>
                    </w:rPr>
                  </w:pPr>
                </w:p>
                <w:p w:rsidR="001E1265" w:rsidRDefault="001E1265">
                  <w:pPr>
                    <w:spacing w:before="90" w:after="90"/>
                    <w:rPr>
                      <w:rFonts w:ascii="Arial" w:hAnsi="Arial" w:cs="Arial"/>
                      <w:color w:val="000000"/>
                      <w:sz w:val="20"/>
                      <w:szCs w:val="20"/>
                    </w:rPr>
                  </w:pPr>
                  <w:r>
                    <w:rPr>
                      <w:rStyle w:val="Strong"/>
                      <w:rFonts w:ascii="Arial" w:hAnsi="Arial" w:cs="Arial"/>
                      <w:color w:val="000000"/>
                      <w:sz w:val="20"/>
                      <w:szCs w:val="20"/>
                    </w:rPr>
                    <w:t>Naples, Fla. </w:t>
                  </w:r>
                  <w:r>
                    <w:rPr>
                      <w:rFonts w:ascii="Arial" w:hAnsi="Arial" w:cs="Arial"/>
                      <w:color w:val="000000"/>
                      <w:sz w:val="20"/>
                      <w:szCs w:val="20"/>
                    </w:rPr>
                    <w:t xml:space="preserve">(February 26, 2018) - Unlike national figures for home sales in January which, according to the National Association of Realtors®, dropped 4.8 percent compared to sales in January 2017, home sales in Collier County rose 11 percent in January to 671 home sales in January 2018 from 603 home sales in January 2017. In fact, closed sales of luxury properties (homes above $1 million) were quite remarkable in January with a 123 percent increase over the number of closed sales of luxury properties in January 2017, according to the January 2018 Market Report released by the Naples Area Board of REALTORS® (NABOR®), which tracks home listings and sales within Collier County (excluding Marco Island). </w:t>
                  </w:r>
                </w:p>
                <w:p w:rsidR="001E1265" w:rsidRDefault="001E1265">
                  <w:pPr>
                    <w:spacing w:before="90" w:after="90"/>
                    <w:jc w:val="center"/>
                    <w:rPr>
                      <w:rFonts w:ascii="Arial" w:hAnsi="Arial" w:cs="Arial"/>
                      <w:color w:val="000000"/>
                      <w:sz w:val="20"/>
                      <w:szCs w:val="20"/>
                    </w:rPr>
                  </w:pPr>
                  <w:r>
                    <w:rPr>
                      <w:rFonts w:ascii="Arial" w:hAnsi="Arial" w:cs="Arial"/>
                      <w:noProof/>
                      <w:color w:val="000000"/>
                      <w:sz w:val="20"/>
                      <w:szCs w:val="20"/>
                    </w:rPr>
                    <w:drawing>
                      <wp:inline distT="0" distB="0" distL="0" distR="0">
                        <wp:extent cx="5522595" cy="3815715"/>
                        <wp:effectExtent l="0" t="0" r="1905" b="0"/>
                        <wp:docPr id="1" name="Picture 1" descr="http://files.constantcontact.com/85a2c058001/358171fb-9a33-4214-8e0b-b678461b48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onstantcontact.com/85a2c058001/358171fb-9a33-4214-8e0b-b678461b489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2595" cy="3815715"/>
                                </a:xfrm>
                                <a:prstGeom prst="rect">
                                  <a:avLst/>
                                </a:prstGeom>
                                <a:noFill/>
                                <a:ln>
                                  <a:noFill/>
                                </a:ln>
                              </pic:spPr>
                            </pic:pic>
                          </a:graphicData>
                        </a:graphic>
                      </wp:inline>
                    </w:drawing>
                  </w:r>
                </w:p>
                <w:p w:rsidR="001E1265" w:rsidRDefault="001E1265">
                  <w:pPr>
                    <w:spacing w:before="90" w:after="90"/>
                    <w:jc w:val="center"/>
                    <w:rPr>
                      <w:rFonts w:ascii="Arial" w:hAnsi="Arial" w:cs="Arial"/>
                      <w:color w:val="000000"/>
                      <w:sz w:val="20"/>
                      <w:szCs w:val="20"/>
                    </w:rPr>
                  </w:pPr>
                  <w:r>
                    <w:rPr>
                      <w:rStyle w:val="Emphasis"/>
                      <w:rFonts w:ascii="Arial" w:hAnsi="Arial" w:cs="Arial"/>
                      <w:color w:val="000000"/>
                      <w:sz w:val="20"/>
                      <w:szCs w:val="20"/>
                    </w:rPr>
                    <w:t> </w:t>
                  </w:r>
                  <w:hyperlink r:id="rId7" w:tgtFrame="_blank" w:history="1">
                    <w:r>
                      <w:rPr>
                        <w:rStyle w:val="Hyperlink"/>
                        <w:rFonts w:ascii="Arial" w:hAnsi="Arial" w:cs="Arial"/>
                        <w:i/>
                        <w:iCs/>
                        <w:sz w:val="20"/>
                        <w:szCs w:val="20"/>
                      </w:rPr>
                      <w:t>Download this infographic</w:t>
                    </w:r>
                  </w:hyperlink>
                </w:p>
                <w:p w:rsidR="001E1265" w:rsidRDefault="001E1265">
                  <w:pPr>
                    <w:spacing w:before="90" w:after="90"/>
                    <w:rPr>
                      <w:rFonts w:ascii="Arial" w:hAnsi="Arial" w:cs="Arial"/>
                      <w:color w:val="000000"/>
                      <w:sz w:val="20"/>
                      <w:szCs w:val="20"/>
                    </w:rPr>
                  </w:pPr>
                </w:p>
                <w:p w:rsidR="001E1265" w:rsidRDefault="001E1265">
                  <w:pPr>
                    <w:spacing w:before="90" w:after="90"/>
                    <w:rPr>
                      <w:rFonts w:ascii="Arial" w:hAnsi="Arial" w:cs="Arial"/>
                      <w:color w:val="000000"/>
                      <w:sz w:val="20"/>
                      <w:szCs w:val="20"/>
                    </w:rPr>
                  </w:pPr>
                  <w:r>
                    <w:rPr>
                      <w:rFonts w:ascii="Arial" w:hAnsi="Arial" w:cs="Arial"/>
                      <w:color w:val="000000"/>
                      <w:sz w:val="20"/>
                      <w:szCs w:val="20"/>
                    </w:rPr>
                    <w:t xml:space="preserve">"Thank goodness for the luxury properties for sale; they are driving the market," said Bill Coffey, </w:t>
                  </w:r>
                  <w:r>
                    <w:rPr>
                      <w:rFonts w:ascii="Arial" w:hAnsi="Arial" w:cs="Arial"/>
                      <w:color w:val="000000"/>
                      <w:sz w:val="20"/>
                      <w:szCs w:val="20"/>
                    </w:rPr>
                    <w:lastRenderedPageBreak/>
                    <w:t xml:space="preserve">Broker Manager of </w:t>
                  </w:r>
                  <w:proofErr w:type="spellStart"/>
                  <w:r>
                    <w:rPr>
                      <w:rFonts w:ascii="Arial" w:hAnsi="Arial" w:cs="Arial"/>
                      <w:color w:val="000000"/>
                      <w:sz w:val="20"/>
                      <w:szCs w:val="20"/>
                    </w:rPr>
                    <w:t>Amerivest</w:t>
                  </w:r>
                  <w:proofErr w:type="spellEnd"/>
                  <w:r>
                    <w:rPr>
                      <w:rFonts w:ascii="Arial" w:hAnsi="Arial" w:cs="Arial"/>
                      <w:color w:val="000000"/>
                      <w:sz w:val="20"/>
                      <w:szCs w:val="20"/>
                    </w:rPr>
                    <w:t xml:space="preserve"> Realty Naples, who added, "Pending sales of homes priced above $1 million increased 67 percent in January compared to last year." </w:t>
                  </w:r>
                </w:p>
                <w:p w:rsidR="001E1265" w:rsidRDefault="001E1265">
                  <w:pPr>
                    <w:spacing w:before="90" w:after="90"/>
                    <w:rPr>
                      <w:rFonts w:ascii="Arial" w:hAnsi="Arial" w:cs="Arial"/>
                      <w:color w:val="000000"/>
                      <w:sz w:val="20"/>
                      <w:szCs w:val="20"/>
                    </w:rPr>
                  </w:pPr>
                  <w:r>
                    <w:rPr>
                      <w:rFonts w:ascii="Arial" w:hAnsi="Arial" w:cs="Arial"/>
                      <w:color w:val="000000"/>
                      <w:sz w:val="20"/>
                      <w:szCs w:val="20"/>
                    </w:rPr>
                    <w:t> </w:t>
                  </w:r>
                </w:p>
                <w:p w:rsidR="001E1265" w:rsidRDefault="001E1265">
                  <w:pPr>
                    <w:spacing w:before="90" w:after="90"/>
                    <w:rPr>
                      <w:rFonts w:ascii="Arial" w:hAnsi="Arial" w:cs="Arial"/>
                      <w:color w:val="000000"/>
                      <w:sz w:val="20"/>
                      <w:szCs w:val="20"/>
                    </w:rPr>
                  </w:pPr>
                  <w:r>
                    <w:rPr>
                      <w:rFonts w:ascii="Arial" w:hAnsi="Arial" w:cs="Arial"/>
                      <w:color w:val="000000"/>
                      <w:sz w:val="20"/>
                      <w:szCs w:val="20"/>
                    </w:rPr>
                    <w:t xml:space="preserve">Broker analysts reviewing the report agreed that many of the high-end speculative homes that had been on the market for over two years, especially in desirable locations like the Naples Beach area, were sold in January. </w:t>
                  </w:r>
                </w:p>
                <w:p w:rsidR="001E1265" w:rsidRDefault="001E1265">
                  <w:pPr>
                    <w:spacing w:before="90" w:after="90"/>
                    <w:rPr>
                      <w:rFonts w:ascii="Arial" w:hAnsi="Arial" w:cs="Arial"/>
                      <w:color w:val="000000"/>
                      <w:sz w:val="20"/>
                      <w:szCs w:val="20"/>
                    </w:rPr>
                  </w:pPr>
                  <w:r>
                    <w:rPr>
                      <w:rFonts w:ascii="Arial" w:hAnsi="Arial" w:cs="Arial"/>
                      <w:color w:val="000000"/>
                      <w:sz w:val="20"/>
                      <w:szCs w:val="20"/>
                    </w:rPr>
                    <w:t> </w:t>
                  </w:r>
                </w:p>
                <w:p w:rsidR="001E1265" w:rsidRDefault="001E1265">
                  <w:pPr>
                    <w:spacing w:before="90" w:after="90"/>
                    <w:rPr>
                      <w:rFonts w:ascii="Arial" w:hAnsi="Arial" w:cs="Arial"/>
                      <w:color w:val="000000"/>
                      <w:sz w:val="20"/>
                      <w:szCs w:val="20"/>
                    </w:rPr>
                  </w:pPr>
                  <w:r>
                    <w:rPr>
                      <w:rFonts w:ascii="Arial" w:hAnsi="Arial" w:cs="Arial"/>
                      <w:color w:val="000000"/>
                      <w:sz w:val="20"/>
                      <w:szCs w:val="20"/>
                    </w:rPr>
                    <w:t xml:space="preserve">Dominic </w:t>
                  </w:r>
                  <w:proofErr w:type="spellStart"/>
                  <w:r>
                    <w:rPr>
                      <w:rFonts w:ascii="Arial" w:hAnsi="Arial" w:cs="Arial"/>
                      <w:color w:val="000000"/>
                      <w:sz w:val="20"/>
                      <w:szCs w:val="20"/>
                    </w:rPr>
                    <w:t>Pallini</w:t>
                  </w:r>
                  <w:proofErr w:type="spellEnd"/>
                  <w:r>
                    <w:rPr>
                      <w:rFonts w:ascii="Arial" w:hAnsi="Arial" w:cs="Arial"/>
                      <w:color w:val="000000"/>
                      <w:sz w:val="20"/>
                      <w:szCs w:val="20"/>
                    </w:rPr>
                    <w:t>, Broker at Vanderbilt Realty said, "An increase in motivated sellers is demonstrated by January's overall pending sales, which increased 11 percent."</w:t>
                  </w:r>
                </w:p>
                <w:p w:rsidR="001E1265" w:rsidRDefault="001E1265">
                  <w:pPr>
                    <w:spacing w:before="90" w:after="90"/>
                    <w:rPr>
                      <w:rFonts w:ascii="Arial" w:hAnsi="Arial" w:cs="Arial"/>
                      <w:color w:val="000000"/>
                      <w:sz w:val="20"/>
                      <w:szCs w:val="20"/>
                    </w:rPr>
                  </w:pPr>
                  <w:r>
                    <w:rPr>
                      <w:rFonts w:ascii="Arial" w:hAnsi="Arial" w:cs="Arial"/>
                      <w:color w:val="000000"/>
                      <w:sz w:val="20"/>
                      <w:szCs w:val="20"/>
                    </w:rPr>
                    <w:t> </w:t>
                  </w:r>
                </w:p>
                <w:p w:rsidR="001E1265" w:rsidRDefault="001E1265">
                  <w:pPr>
                    <w:spacing w:before="90" w:after="90"/>
                    <w:rPr>
                      <w:rFonts w:ascii="Arial" w:hAnsi="Arial" w:cs="Arial"/>
                      <w:color w:val="000000"/>
                      <w:sz w:val="20"/>
                      <w:szCs w:val="20"/>
                    </w:rPr>
                  </w:pPr>
                  <w:r>
                    <w:rPr>
                      <w:rFonts w:ascii="Arial" w:hAnsi="Arial" w:cs="Arial"/>
                      <w:color w:val="000000"/>
                      <w:sz w:val="20"/>
                      <w:szCs w:val="20"/>
                    </w:rPr>
                    <w:t xml:space="preserve">"I think we had a lot of pent up demand from wealthy buyers who waited to see how the new tax laws would affect them," said Jeff Jones, Managing Broker for Engel &amp; </w:t>
                  </w:r>
                  <w:proofErr w:type="spellStart"/>
                  <w:r>
                    <w:rPr>
                      <w:rFonts w:ascii="Arial" w:hAnsi="Arial" w:cs="Arial"/>
                      <w:color w:val="000000"/>
                      <w:sz w:val="20"/>
                      <w:szCs w:val="20"/>
                    </w:rPr>
                    <w:t>Völkers</w:t>
                  </w:r>
                  <w:proofErr w:type="spellEnd"/>
                  <w:r>
                    <w:rPr>
                      <w:rFonts w:ascii="Arial" w:hAnsi="Arial" w:cs="Arial"/>
                      <w:color w:val="000000"/>
                      <w:sz w:val="20"/>
                      <w:szCs w:val="20"/>
                    </w:rPr>
                    <w:t xml:space="preserve">' Naples and </w:t>
                  </w:r>
                  <w:proofErr w:type="gramStart"/>
                  <w:r>
                    <w:rPr>
                      <w:rFonts w:ascii="Arial" w:hAnsi="Arial" w:cs="Arial"/>
                      <w:color w:val="000000"/>
                      <w:sz w:val="20"/>
                      <w:szCs w:val="20"/>
                    </w:rPr>
                    <w:t>Bonita Springs</w:t>
                  </w:r>
                  <w:proofErr w:type="gramEnd"/>
                  <w:r>
                    <w:rPr>
                      <w:rFonts w:ascii="Arial" w:hAnsi="Arial" w:cs="Arial"/>
                      <w:color w:val="000000"/>
                      <w:sz w:val="20"/>
                      <w:szCs w:val="20"/>
                    </w:rPr>
                    <w:t xml:space="preserve"> offices. "Once they understood the law, they obviously felt confident in making a big purchasing decision." </w:t>
                  </w:r>
                </w:p>
                <w:p w:rsidR="001E1265" w:rsidRDefault="001E1265">
                  <w:pPr>
                    <w:spacing w:before="90" w:after="90"/>
                    <w:rPr>
                      <w:rFonts w:ascii="Arial" w:hAnsi="Arial" w:cs="Arial"/>
                      <w:color w:val="000000"/>
                      <w:sz w:val="20"/>
                      <w:szCs w:val="20"/>
                    </w:rPr>
                  </w:pPr>
                  <w:r>
                    <w:rPr>
                      <w:rFonts w:ascii="Arial" w:hAnsi="Arial" w:cs="Arial"/>
                      <w:color w:val="000000"/>
                      <w:sz w:val="20"/>
                      <w:szCs w:val="20"/>
                    </w:rPr>
                    <w:t> </w:t>
                  </w:r>
                </w:p>
                <w:p w:rsidR="001E1265" w:rsidRDefault="001E1265">
                  <w:pPr>
                    <w:spacing w:before="90" w:after="90"/>
                    <w:rPr>
                      <w:rFonts w:ascii="Arial" w:hAnsi="Arial" w:cs="Arial"/>
                      <w:color w:val="000000"/>
                      <w:sz w:val="20"/>
                      <w:szCs w:val="20"/>
                    </w:rPr>
                  </w:pPr>
                  <w:r>
                    <w:rPr>
                      <w:rFonts w:ascii="Arial" w:hAnsi="Arial" w:cs="Arial"/>
                      <w:color w:val="000000"/>
                      <w:sz w:val="20"/>
                      <w:szCs w:val="20"/>
                    </w:rPr>
                    <w:t>As such, January's median closed price decreased 19 percent in the $2 million and above price category. For the entire market, the overall median closed price increased 19 percent in January.</w:t>
                  </w:r>
                </w:p>
                <w:p w:rsidR="001E1265" w:rsidRDefault="001E1265">
                  <w:pPr>
                    <w:spacing w:before="90" w:after="90"/>
                    <w:rPr>
                      <w:rFonts w:ascii="Arial" w:hAnsi="Arial" w:cs="Arial"/>
                      <w:color w:val="000000"/>
                      <w:sz w:val="20"/>
                      <w:szCs w:val="20"/>
                    </w:rPr>
                  </w:pPr>
                  <w:r>
                    <w:rPr>
                      <w:rFonts w:ascii="Arial" w:hAnsi="Arial" w:cs="Arial"/>
                      <w:color w:val="000000"/>
                      <w:sz w:val="20"/>
                      <w:szCs w:val="20"/>
                    </w:rPr>
                    <w:t> </w:t>
                  </w:r>
                </w:p>
                <w:p w:rsidR="001E1265" w:rsidRDefault="001E1265">
                  <w:pPr>
                    <w:spacing w:before="90" w:after="90"/>
                    <w:rPr>
                      <w:rFonts w:ascii="Arial" w:hAnsi="Arial" w:cs="Arial"/>
                      <w:color w:val="000000"/>
                      <w:sz w:val="20"/>
                      <w:szCs w:val="20"/>
                    </w:rPr>
                  </w:pPr>
                  <w:r>
                    <w:rPr>
                      <w:rFonts w:ascii="Arial" w:hAnsi="Arial" w:cs="Arial"/>
                      <w:color w:val="000000"/>
                      <w:sz w:val="20"/>
                      <w:szCs w:val="20"/>
                    </w:rPr>
                    <w:t>"The storm blew in a lot of business," remarked Mike Hughes, Vice President and General Manager for Downing-Frye Realty, Inc., who added, "I believe that some buyers who would have purchased in the fourth quarter of 2017 delayed their decision until the first quarter of 2018. It looks like we are off to a good start this year with respect to sales."</w:t>
                  </w:r>
                </w:p>
                <w:p w:rsidR="001E1265" w:rsidRDefault="001E1265">
                  <w:pPr>
                    <w:spacing w:before="90" w:after="90"/>
                    <w:rPr>
                      <w:rFonts w:ascii="Arial" w:hAnsi="Arial" w:cs="Arial"/>
                      <w:color w:val="000000"/>
                      <w:sz w:val="20"/>
                      <w:szCs w:val="20"/>
                    </w:rPr>
                  </w:pPr>
                  <w:r>
                    <w:rPr>
                      <w:rFonts w:ascii="Arial" w:hAnsi="Arial" w:cs="Arial"/>
                      <w:color w:val="000000"/>
                      <w:sz w:val="20"/>
                      <w:szCs w:val="20"/>
                    </w:rPr>
                    <w:t> </w:t>
                  </w:r>
                </w:p>
                <w:p w:rsidR="001E1265" w:rsidRDefault="001E1265">
                  <w:pPr>
                    <w:spacing w:before="90" w:after="90"/>
                    <w:rPr>
                      <w:rFonts w:ascii="Arial" w:hAnsi="Arial" w:cs="Arial"/>
                      <w:color w:val="000000"/>
                      <w:sz w:val="20"/>
                      <w:szCs w:val="20"/>
                    </w:rPr>
                  </w:pPr>
                  <w:r>
                    <w:rPr>
                      <w:rFonts w:ascii="Arial" w:hAnsi="Arial" w:cs="Arial"/>
                      <w:color w:val="000000"/>
                      <w:sz w:val="20"/>
                      <w:szCs w:val="20"/>
                    </w:rPr>
                    <w:t xml:space="preserve">Overall median prices in January decreased for homes up to $1 million compared to last year. For example, median closed prices for properties in the $300,000 and below price category decreased 6 percent in January to $205,000 from $219,000 in January 2017. </w:t>
                  </w:r>
                </w:p>
                <w:p w:rsidR="001E1265" w:rsidRDefault="001E1265">
                  <w:pPr>
                    <w:spacing w:before="90" w:after="90"/>
                    <w:rPr>
                      <w:rFonts w:ascii="Arial" w:hAnsi="Arial" w:cs="Arial"/>
                      <w:color w:val="000000"/>
                      <w:sz w:val="20"/>
                      <w:szCs w:val="20"/>
                    </w:rPr>
                  </w:pPr>
                  <w:r>
                    <w:rPr>
                      <w:rFonts w:ascii="Arial" w:hAnsi="Arial" w:cs="Arial"/>
                      <w:color w:val="000000"/>
                      <w:sz w:val="20"/>
                      <w:szCs w:val="20"/>
                    </w:rPr>
                    <w:t> </w:t>
                  </w:r>
                </w:p>
                <w:p w:rsidR="001E1265" w:rsidRDefault="001E1265">
                  <w:pPr>
                    <w:spacing w:before="90" w:after="90"/>
                    <w:rPr>
                      <w:rFonts w:ascii="Arial" w:hAnsi="Arial" w:cs="Arial"/>
                      <w:color w:val="000000"/>
                      <w:sz w:val="20"/>
                      <w:szCs w:val="20"/>
                    </w:rPr>
                  </w:pPr>
                  <w:r>
                    <w:rPr>
                      <w:rFonts w:ascii="Arial" w:hAnsi="Arial" w:cs="Arial"/>
                      <w:color w:val="000000"/>
                      <w:sz w:val="20"/>
                      <w:szCs w:val="20"/>
                    </w:rPr>
                    <w:t>"For a long time we saw double digit increases in median closed prices for single-family homes in the $300,000 and below market," said Cindy Carroll, SRA of Carroll &amp; Carroll Appraisers and Consultants LLC. "But for January, the report showed only a 4 percent increase [year over year (or a 5 percent increase month over month)]."</w:t>
                  </w:r>
                </w:p>
                <w:p w:rsidR="001E1265" w:rsidRDefault="001E1265">
                  <w:pPr>
                    <w:spacing w:before="90" w:after="90"/>
                    <w:rPr>
                      <w:rFonts w:ascii="Arial" w:hAnsi="Arial" w:cs="Arial"/>
                      <w:color w:val="000000"/>
                      <w:sz w:val="20"/>
                      <w:szCs w:val="20"/>
                    </w:rPr>
                  </w:pPr>
                </w:p>
                <w:p w:rsidR="001E1265" w:rsidRDefault="001E1265">
                  <w:pPr>
                    <w:spacing w:before="90" w:after="90"/>
                    <w:rPr>
                      <w:rFonts w:ascii="Arial" w:hAnsi="Arial" w:cs="Arial"/>
                      <w:color w:val="000000"/>
                      <w:sz w:val="20"/>
                      <w:szCs w:val="20"/>
                    </w:rPr>
                  </w:pPr>
                  <w:r>
                    <w:rPr>
                      <w:rFonts w:ascii="Arial" w:hAnsi="Arial" w:cs="Arial"/>
                      <w:color w:val="000000"/>
                      <w:sz w:val="20"/>
                      <w:szCs w:val="20"/>
                    </w:rPr>
                    <w:t xml:space="preserve">Overall inventory in Collier County decreased 5 percent in January to 6,071 homes from 6,393 homes in January 2017. However, inventory has been on the rise over the past few months and while the nation continues to experience declining inventory levels that resulted in a 3.4 </w:t>
                  </w:r>
                  <w:proofErr w:type="spellStart"/>
                  <w:r>
                    <w:rPr>
                      <w:rFonts w:ascii="Arial" w:hAnsi="Arial" w:cs="Arial"/>
                      <w:color w:val="000000"/>
                      <w:sz w:val="20"/>
                      <w:szCs w:val="20"/>
                    </w:rPr>
                    <w:t>months</w:t>
                  </w:r>
                  <w:proofErr w:type="spellEnd"/>
                  <w:r>
                    <w:rPr>
                      <w:rFonts w:ascii="Arial" w:hAnsi="Arial" w:cs="Arial"/>
                      <w:color w:val="000000"/>
                      <w:sz w:val="20"/>
                      <w:szCs w:val="20"/>
                    </w:rPr>
                    <w:t xml:space="preserve"> supply for January, the Naples area market is seeing its inventory levels increase to 8.2 months of inventory for January. </w:t>
                  </w:r>
                </w:p>
                <w:p w:rsidR="001E1265" w:rsidRDefault="001E1265">
                  <w:pPr>
                    <w:spacing w:before="90" w:after="90"/>
                    <w:rPr>
                      <w:rFonts w:ascii="Arial" w:hAnsi="Arial" w:cs="Arial"/>
                      <w:color w:val="000000"/>
                      <w:sz w:val="20"/>
                      <w:szCs w:val="20"/>
                    </w:rPr>
                  </w:pPr>
                  <w:r>
                    <w:rPr>
                      <w:rFonts w:ascii="Arial" w:hAnsi="Arial" w:cs="Arial"/>
                      <w:color w:val="000000"/>
                      <w:sz w:val="20"/>
                      <w:szCs w:val="20"/>
                    </w:rPr>
                    <w:t> </w:t>
                  </w:r>
                </w:p>
                <w:p w:rsidR="001E1265" w:rsidRDefault="001E1265">
                  <w:pPr>
                    <w:spacing w:before="90" w:after="90"/>
                    <w:rPr>
                      <w:rFonts w:ascii="Arial" w:hAnsi="Arial" w:cs="Arial"/>
                      <w:color w:val="000000"/>
                      <w:sz w:val="20"/>
                      <w:szCs w:val="20"/>
                    </w:rPr>
                  </w:pPr>
                  <w:r>
                    <w:rPr>
                      <w:rFonts w:ascii="Arial" w:hAnsi="Arial" w:cs="Arial"/>
                      <w:color w:val="000000"/>
                      <w:sz w:val="20"/>
                      <w:szCs w:val="20"/>
                    </w:rPr>
                    <w:t>However, the report also showed a 21 percent decline in inventory for single-family homes in the Naples Beach area, which Carroll says can be attributed to a rush of speculative homes sales in that area.</w:t>
                  </w:r>
                </w:p>
                <w:p w:rsidR="001E1265" w:rsidRDefault="001E1265">
                  <w:pPr>
                    <w:spacing w:before="90" w:after="90"/>
                    <w:rPr>
                      <w:rFonts w:ascii="Arial" w:hAnsi="Arial" w:cs="Arial"/>
                      <w:color w:val="000000"/>
                      <w:sz w:val="20"/>
                      <w:szCs w:val="20"/>
                    </w:rPr>
                  </w:pPr>
                  <w:r>
                    <w:rPr>
                      <w:rFonts w:ascii="Arial" w:hAnsi="Arial" w:cs="Arial"/>
                      <w:color w:val="000000"/>
                      <w:sz w:val="20"/>
                      <w:szCs w:val="20"/>
                    </w:rPr>
                    <w:t> </w:t>
                  </w:r>
                </w:p>
                <w:p w:rsidR="001E1265" w:rsidRDefault="001E1265">
                  <w:pPr>
                    <w:spacing w:before="90" w:after="90"/>
                    <w:rPr>
                      <w:rFonts w:ascii="Arial" w:hAnsi="Arial" w:cs="Arial"/>
                      <w:color w:val="000000"/>
                      <w:sz w:val="20"/>
                      <w:szCs w:val="20"/>
                    </w:rPr>
                  </w:pPr>
                  <w:r>
                    <w:rPr>
                      <w:rFonts w:ascii="Arial" w:hAnsi="Arial" w:cs="Arial"/>
                      <w:color w:val="000000"/>
                      <w:sz w:val="20"/>
                      <w:szCs w:val="20"/>
                    </w:rPr>
                    <w:t>The NABOR® January 2018 Market Report provides comparisons of single-family home and condominium sales (via the Southwest Florida MLS), price ranges, and geographic segmentation and includes an overall market summary. The NABOR® January 2018 sales statistics are presented in chart format, including these overall (single-family and condominium) findings: </w:t>
                  </w:r>
                </w:p>
                <w:p w:rsidR="001E1265" w:rsidRDefault="001E1265">
                  <w:pPr>
                    <w:spacing w:before="90" w:after="90"/>
                    <w:rPr>
                      <w:rFonts w:ascii="Arial" w:hAnsi="Arial" w:cs="Arial"/>
                      <w:color w:val="000000"/>
                      <w:sz w:val="20"/>
                      <w:szCs w:val="20"/>
                    </w:rPr>
                  </w:pPr>
                </w:p>
                <w:tbl>
                  <w:tblPr>
                    <w:tblW w:w="8595" w:type="dxa"/>
                    <w:jc w:val="center"/>
                    <w:tblBorders>
                      <w:top w:val="single" w:sz="6" w:space="0" w:color="989898"/>
                      <w:left w:val="single" w:sz="6" w:space="0" w:color="989898"/>
                      <w:bottom w:val="single" w:sz="6" w:space="0" w:color="989898"/>
                      <w:right w:val="single" w:sz="6" w:space="0" w:color="989898"/>
                    </w:tblBorders>
                    <w:tblCellMar>
                      <w:top w:w="45" w:type="dxa"/>
                      <w:left w:w="45" w:type="dxa"/>
                      <w:bottom w:w="45" w:type="dxa"/>
                      <w:right w:w="45" w:type="dxa"/>
                    </w:tblCellMar>
                    <w:tblLook w:val="04A0" w:firstRow="1" w:lastRow="0" w:firstColumn="1" w:lastColumn="0" w:noHBand="0" w:noVBand="1"/>
                  </w:tblPr>
                  <w:tblGrid>
                    <w:gridCol w:w="5557"/>
                    <w:gridCol w:w="984"/>
                    <w:gridCol w:w="1046"/>
                    <w:gridCol w:w="1008"/>
                  </w:tblGrid>
                  <w:tr w:rsidR="001E1265">
                    <w:trPr>
                      <w:trHeight w:val="210"/>
                      <w:jc w:val="center"/>
                    </w:trPr>
                    <w:tc>
                      <w:tcPr>
                        <w:tcW w:w="5340" w:type="dxa"/>
                        <w:tcBorders>
                          <w:top w:val="single" w:sz="6" w:space="0" w:color="989898"/>
                          <w:left w:val="single" w:sz="6" w:space="0" w:color="989898"/>
                          <w:bottom w:val="single" w:sz="6" w:space="0" w:color="989898"/>
                          <w:right w:val="single" w:sz="6" w:space="0" w:color="989898"/>
                        </w:tcBorders>
                        <w:hideMark/>
                      </w:tcPr>
                      <w:p w:rsidR="001E1265" w:rsidRDefault="001E1265">
                        <w:pPr>
                          <w:jc w:val="center"/>
                          <w:rPr>
                            <w:sz w:val="20"/>
                            <w:szCs w:val="20"/>
                          </w:rPr>
                        </w:pPr>
                        <w:r>
                          <w:rPr>
                            <w:rStyle w:val="Strong"/>
                            <w:sz w:val="20"/>
                            <w:szCs w:val="20"/>
                          </w:rPr>
                          <w:lastRenderedPageBreak/>
                          <w:t>CATEGORIES</w:t>
                        </w:r>
                      </w:p>
                    </w:tc>
                    <w:tc>
                      <w:tcPr>
                        <w:tcW w:w="945" w:type="dxa"/>
                        <w:tcBorders>
                          <w:top w:val="single" w:sz="6" w:space="0" w:color="989898"/>
                          <w:left w:val="single" w:sz="6" w:space="0" w:color="989898"/>
                          <w:bottom w:val="single" w:sz="6" w:space="0" w:color="989898"/>
                          <w:right w:val="single" w:sz="6" w:space="0" w:color="989898"/>
                        </w:tcBorders>
                        <w:hideMark/>
                      </w:tcPr>
                      <w:p w:rsidR="001E1265" w:rsidRDefault="001E1265">
                        <w:pPr>
                          <w:jc w:val="center"/>
                          <w:rPr>
                            <w:sz w:val="20"/>
                            <w:szCs w:val="20"/>
                          </w:rPr>
                        </w:pPr>
                        <w:r>
                          <w:rPr>
                            <w:rStyle w:val="Strong"/>
                            <w:sz w:val="20"/>
                            <w:szCs w:val="20"/>
                          </w:rPr>
                          <w:t>Jan 2017</w:t>
                        </w:r>
                      </w:p>
                    </w:tc>
                    <w:tc>
                      <w:tcPr>
                        <w:tcW w:w="1005" w:type="dxa"/>
                        <w:tcBorders>
                          <w:top w:val="single" w:sz="6" w:space="0" w:color="989898"/>
                          <w:left w:val="single" w:sz="6" w:space="0" w:color="989898"/>
                          <w:bottom w:val="single" w:sz="6" w:space="0" w:color="989898"/>
                          <w:right w:val="single" w:sz="6" w:space="0" w:color="989898"/>
                        </w:tcBorders>
                        <w:hideMark/>
                      </w:tcPr>
                      <w:p w:rsidR="001E1265" w:rsidRDefault="001E1265">
                        <w:pPr>
                          <w:jc w:val="center"/>
                          <w:rPr>
                            <w:sz w:val="20"/>
                            <w:szCs w:val="20"/>
                          </w:rPr>
                        </w:pPr>
                        <w:r>
                          <w:rPr>
                            <w:rStyle w:val="Strong"/>
                            <w:sz w:val="20"/>
                            <w:szCs w:val="20"/>
                          </w:rPr>
                          <w:t>Jan 2018</w:t>
                        </w:r>
                      </w:p>
                    </w:tc>
                    <w:tc>
                      <w:tcPr>
                        <w:tcW w:w="825" w:type="dxa"/>
                        <w:tcBorders>
                          <w:top w:val="single" w:sz="6" w:space="0" w:color="989898"/>
                          <w:left w:val="single" w:sz="6" w:space="0" w:color="989898"/>
                          <w:bottom w:val="single" w:sz="6" w:space="0" w:color="989898"/>
                          <w:right w:val="single" w:sz="6" w:space="0" w:color="989898"/>
                        </w:tcBorders>
                        <w:hideMark/>
                      </w:tcPr>
                      <w:p w:rsidR="001E1265" w:rsidRDefault="001E1265">
                        <w:pPr>
                          <w:jc w:val="center"/>
                          <w:rPr>
                            <w:sz w:val="20"/>
                            <w:szCs w:val="20"/>
                          </w:rPr>
                        </w:pPr>
                        <w:r>
                          <w:rPr>
                            <w:rStyle w:val="Strong"/>
                            <w:sz w:val="20"/>
                            <w:szCs w:val="20"/>
                          </w:rPr>
                          <w:t>CHANGE</w:t>
                        </w:r>
                      </w:p>
                    </w:tc>
                  </w:tr>
                  <w:tr w:rsidR="001E1265">
                    <w:trPr>
                      <w:trHeight w:val="210"/>
                      <w:jc w:val="center"/>
                    </w:trPr>
                    <w:tc>
                      <w:tcPr>
                        <w:tcW w:w="5340" w:type="dxa"/>
                        <w:tcBorders>
                          <w:top w:val="single" w:sz="6" w:space="0" w:color="989898"/>
                          <w:left w:val="single" w:sz="6" w:space="0" w:color="989898"/>
                          <w:bottom w:val="single" w:sz="6" w:space="0" w:color="989898"/>
                          <w:right w:val="single" w:sz="6" w:space="0" w:color="989898"/>
                        </w:tcBorders>
                        <w:hideMark/>
                      </w:tcPr>
                      <w:p w:rsidR="001E1265" w:rsidRDefault="001E1265">
                        <w:pPr>
                          <w:spacing w:line="210" w:lineRule="atLeast"/>
                        </w:pPr>
                        <w:r>
                          <w:rPr>
                            <w:sz w:val="20"/>
                            <w:szCs w:val="20"/>
                          </w:rPr>
                          <w:t>Total homes under contract (pending sales) (month/month)</w:t>
                        </w:r>
                      </w:p>
                    </w:tc>
                    <w:tc>
                      <w:tcPr>
                        <w:tcW w:w="945" w:type="dxa"/>
                        <w:tcBorders>
                          <w:top w:val="single" w:sz="6" w:space="0" w:color="989898"/>
                          <w:left w:val="single" w:sz="6" w:space="0" w:color="989898"/>
                          <w:bottom w:val="single" w:sz="6" w:space="0" w:color="989898"/>
                          <w:right w:val="single" w:sz="6" w:space="0" w:color="989898"/>
                        </w:tcBorders>
                        <w:hideMark/>
                      </w:tcPr>
                      <w:p w:rsidR="001E1265" w:rsidRDefault="001E1265">
                        <w:pPr>
                          <w:jc w:val="center"/>
                          <w:rPr>
                            <w:sz w:val="20"/>
                            <w:szCs w:val="20"/>
                          </w:rPr>
                        </w:pPr>
                        <w:r>
                          <w:rPr>
                            <w:sz w:val="20"/>
                            <w:szCs w:val="20"/>
                          </w:rPr>
                          <w:t>924</w:t>
                        </w:r>
                      </w:p>
                    </w:tc>
                    <w:tc>
                      <w:tcPr>
                        <w:tcW w:w="1005" w:type="dxa"/>
                        <w:tcBorders>
                          <w:top w:val="single" w:sz="6" w:space="0" w:color="989898"/>
                          <w:left w:val="single" w:sz="6" w:space="0" w:color="989898"/>
                          <w:bottom w:val="single" w:sz="6" w:space="0" w:color="989898"/>
                          <w:right w:val="single" w:sz="6" w:space="0" w:color="989898"/>
                        </w:tcBorders>
                        <w:hideMark/>
                      </w:tcPr>
                      <w:p w:rsidR="001E1265" w:rsidRDefault="001E1265">
                        <w:pPr>
                          <w:jc w:val="center"/>
                          <w:rPr>
                            <w:sz w:val="20"/>
                            <w:szCs w:val="20"/>
                          </w:rPr>
                        </w:pPr>
                        <w:r>
                          <w:rPr>
                            <w:sz w:val="20"/>
                            <w:szCs w:val="20"/>
                          </w:rPr>
                          <w:t>1,030</w:t>
                        </w:r>
                      </w:p>
                    </w:tc>
                    <w:tc>
                      <w:tcPr>
                        <w:tcW w:w="825" w:type="dxa"/>
                        <w:tcBorders>
                          <w:top w:val="single" w:sz="6" w:space="0" w:color="989898"/>
                          <w:left w:val="single" w:sz="6" w:space="0" w:color="989898"/>
                          <w:bottom w:val="single" w:sz="6" w:space="0" w:color="989898"/>
                          <w:right w:val="single" w:sz="6" w:space="0" w:color="989898"/>
                        </w:tcBorders>
                        <w:hideMark/>
                      </w:tcPr>
                      <w:p w:rsidR="001E1265" w:rsidRDefault="001E1265">
                        <w:pPr>
                          <w:jc w:val="center"/>
                          <w:rPr>
                            <w:sz w:val="20"/>
                            <w:szCs w:val="20"/>
                          </w:rPr>
                        </w:pPr>
                        <w:r>
                          <w:rPr>
                            <w:sz w:val="20"/>
                            <w:szCs w:val="20"/>
                          </w:rPr>
                          <w:t>11%</w:t>
                        </w:r>
                      </w:p>
                    </w:tc>
                  </w:tr>
                  <w:tr w:rsidR="001E1265">
                    <w:trPr>
                      <w:trHeight w:val="210"/>
                      <w:jc w:val="center"/>
                    </w:trPr>
                    <w:tc>
                      <w:tcPr>
                        <w:tcW w:w="5340" w:type="dxa"/>
                        <w:tcBorders>
                          <w:top w:val="single" w:sz="6" w:space="0" w:color="989898"/>
                          <w:left w:val="single" w:sz="6" w:space="0" w:color="989898"/>
                          <w:bottom w:val="single" w:sz="6" w:space="0" w:color="989898"/>
                          <w:right w:val="single" w:sz="6" w:space="0" w:color="989898"/>
                        </w:tcBorders>
                        <w:hideMark/>
                      </w:tcPr>
                      <w:p w:rsidR="001E1265" w:rsidRDefault="001E1265">
                        <w:pPr>
                          <w:spacing w:line="210" w:lineRule="atLeast"/>
                        </w:pPr>
                        <w:r>
                          <w:rPr>
                            <w:sz w:val="20"/>
                            <w:szCs w:val="20"/>
                          </w:rPr>
                          <w:t>Total closed sales (month/month)</w:t>
                        </w:r>
                      </w:p>
                    </w:tc>
                    <w:tc>
                      <w:tcPr>
                        <w:tcW w:w="945" w:type="dxa"/>
                        <w:tcBorders>
                          <w:top w:val="single" w:sz="6" w:space="0" w:color="989898"/>
                          <w:left w:val="single" w:sz="6" w:space="0" w:color="989898"/>
                          <w:bottom w:val="single" w:sz="6" w:space="0" w:color="989898"/>
                          <w:right w:val="single" w:sz="6" w:space="0" w:color="989898"/>
                        </w:tcBorders>
                        <w:hideMark/>
                      </w:tcPr>
                      <w:p w:rsidR="001E1265" w:rsidRDefault="001E1265">
                        <w:pPr>
                          <w:jc w:val="center"/>
                          <w:rPr>
                            <w:sz w:val="20"/>
                            <w:szCs w:val="20"/>
                          </w:rPr>
                        </w:pPr>
                        <w:r>
                          <w:rPr>
                            <w:sz w:val="20"/>
                            <w:szCs w:val="20"/>
                          </w:rPr>
                          <w:t>603</w:t>
                        </w:r>
                      </w:p>
                    </w:tc>
                    <w:tc>
                      <w:tcPr>
                        <w:tcW w:w="1005" w:type="dxa"/>
                        <w:tcBorders>
                          <w:top w:val="single" w:sz="6" w:space="0" w:color="989898"/>
                          <w:left w:val="single" w:sz="6" w:space="0" w:color="989898"/>
                          <w:bottom w:val="single" w:sz="6" w:space="0" w:color="989898"/>
                          <w:right w:val="single" w:sz="6" w:space="0" w:color="989898"/>
                        </w:tcBorders>
                        <w:hideMark/>
                      </w:tcPr>
                      <w:p w:rsidR="001E1265" w:rsidRDefault="001E1265">
                        <w:pPr>
                          <w:jc w:val="center"/>
                          <w:rPr>
                            <w:sz w:val="20"/>
                            <w:szCs w:val="20"/>
                          </w:rPr>
                        </w:pPr>
                        <w:r>
                          <w:rPr>
                            <w:sz w:val="20"/>
                            <w:szCs w:val="20"/>
                          </w:rPr>
                          <w:t>671</w:t>
                        </w:r>
                      </w:p>
                    </w:tc>
                    <w:tc>
                      <w:tcPr>
                        <w:tcW w:w="825" w:type="dxa"/>
                        <w:tcBorders>
                          <w:top w:val="single" w:sz="6" w:space="0" w:color="989898"/>
                          <w:left w:val="single" w:sz="6" w:space="0" w:color="989898"/>
                          <w:bottom w:val="single" w:sz="6" w:space="0" w:color="989898"/>
                          <w:right w:val="single" w:sz="6" w:space="0" w:color="989898"/>
                        </w:tcBorders>
                        <w:hideMark/>
                      </w:tcPr>
                      <w:p w:rsidR="001E1265" w:rsidRDefault="001E1265">
                        <w:pPr>
                          <w:jc w:val="center"/>
                          <w:rPr>
                            <w:sz w:val="20"/>
                            <w:szCs w:val="20"/>
                          </w:rPr>
                        </w:pPr>
                        <w:r>
                          <w:rPr>
                            <w:sz w:val="20"/>
                            <w:szCs w:val="20"/>
                          </w:rPr>
                          <w:t>11%</w:t>
                        </w:r>
                      </w:p>
                    </w:tc>
                  </w:tr>
                  <w:tr w:rsidR="001E1265">
                    <w:trPr>
                      <w:trHeight w:val="210"/>
                      <w:jc w:val="center"/>
                    </w:trPr>
                    <w:tc>
                      <w:tcPr>
                        <w:tcW w:w="5340" w:type="dxa"/>
                        <w:tcBorders>
                          <w:top w:val="single" w:sz="6" w:space="0" w:color="989898"/>
                          <w:left w:val="single" w:sz="6" w:space="0" w:color="989898"/>
                          <w:bottom w:val="single" w:sz="6" w:space="0" w:color="989898"/>
                          <w:right w:val="single" w:sz="6" w:space="0" w:color="989898"/>
                        </w:tcBorders>
                        <w:hideMark/>
                      </w:tcPr>
                      <w:p w:rsidR="001E1265" w:rsidRDefault="001E1265">
                        <w:pPr>
                          <w:spacing w:line="210" w:lineRule="atLeast"/>
                        </w:pPr>
                        <w:r>
                          <w:rPr>
                            <w:sz w:val="20"/>
                            <w:szCs w:val="20"/>
                          </w:rPr>
                          <w:t>Median closed price (month/month)</w:t>
                        </w:r>
                      </w:p>
                    </w:tc>
                    <w:tc>
                      <w:tcPr>
                        <w:tcW w:w="945" w:type="dxa"/>
                        <w:tcBorders>
                          <w:top w:val="single" w:sz="6" w:space="0" w:color="989898"/>
                          <w:left w:val="single" w:sz="6" w:space="0" w:color="989898"/>
                          <w:bottom w:val="single" w:sz="6" w:space="0" w:color="989898"/>
                          <w:right w:val="single" w:sz="6" w:space="0" w:color="989898"/>
                        </w:tcBorders>
                        <w:hideMark/>
                      </w:tcPr>
                      <w:p w:rsidR="001E1265" w:rsidRDefault="001E1265">
                        <w:pPr>
                          <w:jc w:val="center"/>
                          <w:rPr>
                            <w:sz w:val="20"/>
                            <w:szCs w:val="20"/>
                          </w:rPr>
                        </w:pPr>
                        <w:r>
                          <w:rPr>
                            <w:sz w:val="20"/>
                            <w:szCs w:val="20"/>
                          </w:rPr>
                          <w:t>$314,000</w:t>
                        </w:r>
                      </w:p>
                    </w:tc>
                    <w:tc>
                      <w:tcPr>
                        <w:tcW w:w="1005" w:type="dxa"/>
                        <w:tcBorders>
                          <w:top w:val="single" w:sz="6" w:space="0" w:color="989898"/>
                          <w:left w:val="single" w:sz="6" w:space="0" w:color="989898"/>
                          <w:bottom w:val="single" w:sz="6" w:space="0" w:color="989898"/>
                          <w:right w:val="single" w:sz="6" w:space="0" w:color="989898"/>
                        </w:tcBorders>
                        <w:hideMark/>
                      </w:tcPr>
                      <w:p w:rsidR="001E1265" w:rsidRDefault="001E1265">
                        <w:pPr>
                          <w:jc w:val="center"/>
                          <w:rPr>
                            <w:sz w:val="20"/>
                            <w:szCs w:val="20"/>
                          </w:rPr>
                        </w:pPr>
                        <w:r>
                          <w:rPr>
                            <w:sz w:val="20"/>
                            <w:szCs w:val="20"/>
                          </w:rPr>
                          <w:t>$375,000</w:t>
                        </w:r>
                      </w:p>
                    </w:tc>
                    <w:tc>
                      <w:tcPr>
                        <w:tcW w:w="825" w:type="dxa"/>
                        <w:tcBorders>
                          <w:top w:val="single" w:sz="6" w:space="0" w:color="989898"/>
                          <w:left w:val="single" w:sz="6" w:space="0" w:color="989898"/>
                          <w:bottom w:val="single" w:sz="6" w:space="0" w:color="989898"/>
                          <w:right w:val="single" w:sz="6" w:space="0" w:color="989898"/>
                        </w:tcBorders>
                        <w:hideMark/>
                      </w:tcPr>
                      <w:p w:rsidR="001E1265" w:rsidRDefault="001E1265">
                        <w:pPr>
                          <w:jc w:val="center"/>
                          <w:rPr>
                            <w:sz w:val="20"/>
                            <w:szCs w:val="20"/>
                          </w:rPr>
                        </w:pPr>
                        <w:r>
                          <w:rPr>
                            <w:sz w:val="20"/>
                            <w:szCs w:val="20"/>
                          </w:rPr>
                          <w:t>19%</w:t>
                        </w:r>
                      </w:p>
                    </w:tc>
                  </w:tr>
                  <w:tr w:rsidR="001E1265">
                    <w:trPr>
                      <w:trHeight w:val="210"/>
                      <w:jc w:val="center"/>
                    </w:trPr>
                    <w:tc>
                      <w:tcPr>
                        <w:tcW w:w="5340" w:type="dxa"/>
                        <w:tcBorders>
                          <w:top w:val="single" w:sz="6" w:space="0" w:color="989898"/>
                          <w:left w:val="single" w:sz="6" w:space="0" w:color="989898"/>
                          <w:bottom w:val="single" w:sz="6" w:space="0" w:color="989898"/>
                          <w:right w:val="single" w:sz="6" w:space="0" w:color="989898"/>
                        </w:tcBorders>
                        <w:hideMark/>
                      </w:tcPr>
                      <w:p w:rsidR="001E1265" w:rsidRDefault="001E1265">
                        <w:pPr>
                          <w:rPr>
                            <w:sz w:val="20"/>
                            <w:szCs w:val="20"/>
                          </w:rPr>
                        </w:pPr>
                        <w:r>
                          <w:rPr>
                            <w:sz w:val="20"/>
                            <w:szCs w:val="20"/>
                          </w:rPr>
                          <w:t>Median closed price &gt;$300K (month/month)</w:t>
                        </w:r>
                      </w:p>
                    </w:tc>
                    <w:tc>
                      <w:tcPr>
                        <w:tcW w:w="945" w:type="dxa"/>
                        <w:tcBorders>
                          <w:top w:val="single" w:sz="6" w:space="0" w:color="989898"/>
                          <w:left w:val="single" w:sz="6" w:space="0" w:color="989898"/>
                          <w:bottom w:val="single" w:sz="6" w:space="0" w:color="989898"/>
                          <w:right w:val="single" w:sz="6" w:space="0" w:color="989898"/>
                        </w:tcBorders>
                        <w:hideMark/>
                      </w:tcPr>
                      <w:p w:rsidR="001E1265" w:rsidRDefault="001E1265">
                        <w:pPr>
                          <w:jc w:val="center"/>
                          <w:rPr>
                            <w:sz w:val="20"/>
                            <w:szCs w:val="20"/>
                          </w:rPr>
                        </w:pPr>
                        <w:r>
                          <w:rPr>
                            <w:sz w:val="20"/>
                            <w:szCs w:val="20"/>
                          </w:rPr>
                          <w:t>$485,000</w:t>
                        </w:r>
                      </w:p>
                    </w:tc>
                    <w:tc>
                      <w:tcPr>
                        <w:tcW w:w="1005" w:type="dxa"/>
                        <w:tcBorders>
                          <w:top w:val="single" w:sz="6" w:space="0" w:color="989898"/>
                          <w:left w:val="single" w:sz="6" w:space="0" w:color="989898"/>
                          <w:bottom w:val="single" w:sz="6" w:space="0" w:color="989898"/>
                          <w:right w:val="single" w:sz="6" w:space="0" w:color="989898"/>
                        </w:tcBorders>
                        <w:hideMark/>
                      </w:tcPr>
                      <w:p w:rsidR="001E1265" w:rsidRDefault="001E1265">
                        <w:pPr>
                          <w:jc w:val="center"/>
                          <w:rPr>
                            <w:sz w:val="20"/>
                            <w:szCs w:val="20"/>
                          </w:rPr>
                        </w:pPr>
                        <w:r>
                          <w:rPr>
                            <w:sz w:val="20"/>
                            <w:szCs w:val="20"/>
                          </w:rPr>
                          <w:t>$646,000</w:t>
                        </w:r>
                      </w:p>
                    </w:tc>
                    <w:tc>
                      <w:tcPr>
                        <w:tcW w:w="825" w:type="dxa"/>
                        <w:tcBorders>
                          <w:top w:val="single" w:sz="6" w:space="0" w:color="989898"/>
                          <w:left w:val="single" w:sz="6" w:space="0" w:color="989898"/>
                          <w:bottom w:val="single" w:sz="6" w:space="0" w:color="989898"/>
                          <w:right w:val="single" w:sz="6" w:space="0" w:color="989898"/>
                        </w:tcBorders>
                        <w:hideMark/>
                      </w:tcPr>
                      <w:p w:rsidR="001E1265" w:rsidRDefault="001E1265">
                        <w:pPr>
                          <w:jc w:val="center"/>
                          <w:rPr>
                            <w:sz w:val="20"/>
                            <w:szCs w:val="20"/>
                          </w:rPr>
                        </w:pPr>
                        <w:r>
                          <w:rPr>
                            <w:sz w:val="20"/>
                            <w:szCs w:val="20"/>
                          </w:rPr>
                          <w:t>33%</w:t>
                        </w:r>
                      </w:p>
                    </w:tc>
                  </w:tr>
                  <w:tr w:rsidR="001E1265">
                    <w:trPr>
                      <w:trHeight w:val="210"/>
                      <w:jc w:val="center"/>
                    </w:trPr>
                    <w:tc>
                      <w:tcPr>
                        <w:tcW w:w="5340" w:type="dxa"/>
                        <w:tcBorders>
                          <w:top w:val="single" w:sz="6" w:space="0" w:color="989898"/>
                          <w:left w:val="single" w:sz="6" w:space="0" w:color="989898"/>
                          <w:bottom w:val="single" w:sz="6" w:space="0" w:color="989898"/>
                          <w:right w:val="single" w:sz="6" w:space="0" w:color="989898"/>
                        </w:tcBorders>
                        <w:hideMark/>
                      </w:tcPr>
                      <w:p w:rsidR="001E1265" w:rsidRDefault="001E1265">
                        <w:pPr>
                          <w:spacing w:line="210" w:lineRule="atLeast"/>
                        </w:pPr>
                        <w:r>
                          <w:rPr>
                            <w:sz w:val="20"/>
                            <w:szCs w:val="20"/>
                          </w:rPr>
                          <w:t>Total active listings (inventory)</w:t>
                        </w:r>
                      </w:p>
                    </w:tc>
                    <w:tc>
                      <w:tcPr>
                        <w:tcW w:w="945" w:type="dxa"/>
                        <w:tcBorders>
                          <w:top w:val="single" w:sz="6" w:space="0" w:color="989898"/>
                          <w:left w:val="single" w:sz="6" w:space="0" w:color="989898"/>
                          <w:bottom w:val="single" w:sz="6" w:space="0" w:color="989898"/>
                          <w:right w:val="single" w:sz="6" w:space="0" w:color="989898"/>
                        </w:tcBorders>
                        <w:hideMark/>
                      </w:tcPr>
                      <w:p w:rsidR="001E1265" w:rsidRDefault="001E1265">
                        <w:pPr>
                          <w:jc w:val="center"/>
                          <w:rPr>
                            <w:sz w:val="20"/>
                            <w:szCs w:val="20"/>
                          </w:rPr>
                        </w:pPr>
                        <w:r>
                          <w:rPr>
                            <w:sz w:val="20"/>
                            <w:szCs w:val="20"/>
                          </w:rPr>
                          <w:t>6,393</w:t>
                        </w:r>
                      </w:p>
                    </w:tc>
                    <w:tc>
                      <w:tcPr>
                        <w:tcW w:w="1005" w:type="dxa"/>
                        <w:tcBorders>
                          <w:top w:val="single" w:sz="6" w:space="0" w:color="989898"/>
                          <w:left w:val="single" w:sz="6" w:space="0" w:color="989898"/>
                          <w:bottom w:val="single" w:sz="6" w:space="0" w:color="989898"/>
                          <w:right w:val="single" w:sz="6" w:space="0" w:color="989898"/>
                        </w:tcBorders>
                        <w:hideMark/>
                      </w:tcPr>
                      <w:p w:rsidR="001E1265" w:rsidRDefault="001E1265">
                        <w:pPr>
                          <w:jc w:val="center"/>
                          <w:rPr>
                            <w:sz w:val="20"/>
                            <w:szCs w:val="20"/>
                          </w:rPr>
                        </w:pPr>
                        <w:r>
                          <w:rPr>
                            <w:sz w:val="20"/>
                            <w:szCs w:val="20"/>
                          </w:rPr>
                          <w:t>6,071</w:t>
                        </w:r>
                      </w:p>
                    </w:tc>
                    <w:tc>
                      <w:tcPr>
                        <w:tcW w:w="825" w:type="dxa"/>
                        <w:tcBorders>
                          <w:top w:val="single" w:sz="6" w:space="0" w:color="989898"/>
                          <w:left w:val="single" w:sz="6" w:space="0" w:color="989898"/>
                          <w:bottom w:val="single" w:sz="6" w:space="0" w:color="989898"/>
                          <w:right w:val="single" w:sz="6" w:space="0" w:color="989898"/>
                        </w:tcBorders>
                        <w:hideMark/>
                      </w:tcPr>
                      <w:p w:rsidR="001E1265" w:rsidRDefault="001E1265">
                        <w:pPr>
                          <w:jc w:val="center"/>
                          <w:rPr>
                            <w:sz w:val="20"/>
                            <w:szCs w:val="20"/>
                          </w:rPr>
                        </w:pPr>
                        <w:r>
                          <w:rPr>
                            <w:sz w:val="20"/>
                            <w:szCs w:val="20"/>
                          </w:rPr>
                          <w:t>-5%</w:t>
                        </w:r>
                      </w:p>
                    </w:tc>
                  </w:tr>
                  <w:tr w:rsidR="001E1265">
                    <w:trPr>
                      <w:trHeight w:val="210"/>
                      <w:jc w:val="center"/>
                    </w:trPr>
                    <w:tc>
                      <w:tcPr>
                        <w:tcW w:w="5340" w:type="dxa"/>
                        <w:tcBorders>
                          <w:top w:val="single" w:sz="6" w:space="0" w:color="989898"/>
                          <w:left w:val="single" w:sz="6" w:space="0" w:color="989898"/>
                          <w:bottom w:val="single" w:sz="6" w:space="0" w:color="989898"/>
                          <w:right w:val="single" w:sz="6" w:space="0" w:color="989898"/>
                        </w:tcBorders>
                        <w:hideMark/>
                      </w:tcPr>
                      <w:p w:rsidR="001E1265" w:rsidRDefault="001E1265">
                        <w:pPr>
                          <w:spacing w:line="210" w:lineRule="atLeast"/>
                        </w:pPr>
                        <w:r>
                          <w:rPr>
                            <w:sz w:val="20"/>
                            <w:szCs w:val="20"/>
                          </w:rPr>
                          <w:t>Average days on market </w:t>
                        </w:r>
                      </w:p>
                    </w:tc>
                    <w:tc>
                      <w:tcPr>
                        <w:tcW w:w="945" w:type="dxa"/>
                        <w:tcBorders>
                          <w:top w:val="single" w:sz="6" w:space="0" w:color="989898"/>
                          <w:left w:val="single" w:sz="6" w:space="0" w:color="989898"/>
                          <w:bottom w:val="single" w:sz="6" w:space="0" w:color="989898"/>
                          <w:right w:val="single" w:sz="6" w:space="0" w:color="989898"/>
                        </w:tcBorders>
                        <w:hideMark/>
                      </w:tcPr>
                      <w:p w:rsidR="001E1265" w:rsidRDefault="001E1265">
                        <w:pPr>
                          <w:jc w:val="center"/>
                          <w:rPr>
                            <w:sz w:val="20"/>
                            <w:szCs w:val="20"/>
                          </w:rPr>
                        </w:pPr>
                        <w:r>
                          <w:rPr>
                            <w:sz w:val="20"/>
                            <w:szCs w:val="20"/>
                          </w:rPr>
                          <w:t>91</w:t>
                        </w:r>
                      </w:p>
                    </w:tc>
                    <w:tc>
                      <w:tcPr>
                        <w:tcW w:w="1005" w:type="dxa"/>
                        <w:tcBorders>
                          <w:top w:val="single" w:sz="6" w:space="0" w:color="989898"/>
                          <w:left w:val="single" w:sz="6" w:space="0" w:color="989898"/>
                          <w:bottom w:val="single" w:sz="6" w:space="0" w:color="989898"/>
                          <w:right w:val="single" w:sz="6" w:space="0" w:color="989898"/>
                        </w:tcBorders>
                        <w:hideMark/>
                      </w:tcPr>
                      <w:p w:rsidR="001E1265" w:rsidRDefault="001E1265">
                        <w:pPr>
                          <w:jc w:val="center"/>
                          <w:rPr>
                            <w:sz w:val="20"/>
                            <w:szCs w:val="20"/>
                          </w:rPr>
                        </w:pPr>
                        <w:r>
                          <w:rPr>
                            <w:sz w:val="20"/>
                            <w:szCs w:val="20"/>
                          </w:rPr>
                          <w:t>91</w:t>
                        </w:r>
                      </w:p>
                    </w:tc>
                    <w:tc>
                      <w:tcPr>
                        <w:tcW w:w="825" w:type="dxa"/>
                        <w:tcBorders>
                          <w:top w:val="single" w:sz="6" w:space="0" w:color="989898"/>
                          <w:left w:val="single" w:sz="6" w:space="0" w:color="989898"/>
                          <w:bottom w:val="single" w:sz="6" w:space="0" w:color="989898"/>
                          <w:right w:val="single" w:sz="6" w:space="0" w:color="989898"/>
                        </w:tcBorders>
                        <w:hideMark/>
                      </w:tcPr>
                      <w:p w:rsidR="001E1265" w:rsidRDefault="001E1265">
                        <w:pPr>
                          <w:jc w:val="center"/>
                          <w:rPr>
                            <w:sz w:val="20"/>
                            <w:szCs w:val="20"/>
                          </w:rPr>
                        </w:pPr>
                        <w:r>
                          <w:rPr>
                            <w:sz w:val="20"/>
                            <w:szCs w:val="20"/>
                          </w:rPr>
                          <w:t>0</w:t>
                        </w:r>
                      </w:p>
                    </w:tc>
                  </w:tr>
                  <w:tr w:rsidR="001E1265">
                    <w:trPr>
                      <w:trHeight w:val="210"/>
                      <w:jc w:val="center"/>
                    </w:trPr>
                    <w:tc>
                      <w:tcPr>
                        <w:tcW w:w="5340" w:type="dxa"/>
                        <w:tcBorders>
                          <w:top w:val="single" w:sz="6" w:space="0" w:color="989898"/>
                          <w:left w:val="single" w:sz="6" w:space="0" w:color="989898"/>
                          <w:bottom w:val="single" w:sz="6" w:space="0" w:color="989898"/>
                          <w:right w:val="single" w:sz="6" w:space="0" w:color="989898"/>
                        </w:tcBorders>
                        <w:hideMark/>
                      </w:tcPr>
                      <w:p w:rsidR="001E1265" w:rsidRDefault="001E1265">
                        <w:pPr>
                          <w:spacing w:line="210" w:lineRule="atLeast"/>
                        </w:pPr>
                        <w:r>
                          <w:rPr>
                            <w:sz w:val="20"/>
                            <w:szCs w:val="20"/>
                          </w:rPr>
                          <w:t>Single-family closed sales (month/month)</w:t>
                        </w:r>
                      </w:p>
                    </w:tc>
                    <w:tc>
                      <w:tcPr>
                        <w:tcW w:w="945" w:type="dxa"/>
                        <w:tcBorders>
                          <w:top w:val="single" w:sz="6" w:space="0" w:color="989898"/>
                          <w:left w:val="single" w:sz="6" w:space="0" w:color="989898"/>
                          <w:bottom w:val="single" w:sz="6" w:space="0" w:color="989898"/>
                          <w:right w:val="single" w:sz="6" w:space="0" w:color="989898"/>
                        </w:tcBorders>
                        <w:hideMark/>
                      </w:tcPr>
                      <w:p w:rsidR="001E1265" w:rsidRDefault="001E1265">
                        <w:pPr>
                          <w:jc w:val="center"/>
                          <w:rPr>
                            <w:sz w:val="20"/>
                            <w:szCs w:val="20"/>
                          </w:rPr>
                        </w:pPr>
                        <w:r>
                          <w:rPr>
                            <w:sz w:val="20"/>
                            <w:szCs w:val="20"/>
                          </w:rPr>
                          <w:t>284</w:t>
                        </w:r>
                      </w:p>
                    </w:tc>
                    <w:tc>
                      <w:tcPr>
                        <w:tcW w:w="1005" w:type="dxa"/>
                        <w:tcBorders>
                          <w:top w:val="single" w:sz="6" w:space="0" w:color="989898"/>
                          <w:left w:val="single" w:sz="6" w:space="0" w:color="989898"/>
                          <w:bottom w:val="single" w:sz="6" w:space="0" w:color="989898"/>
                          <w:right w:val="single" w:sz="6" w:space="0" w:color="989898"/>
                        </w:tcBorders>
                        <w:hideMark/>
                      </w:tcPr>
                      <w:p w:rsidR="001E1265" w:rsidRDefault="001E1265">
                        <w:pPr>
                          <w:jc w:val="center"/>
                          <w:rPr>
                            <w:sz w:val="20"/>
                            <w:szCs w:val="20"/>
                          </w:rPr>
                        </w:pPr>
                        <w:r>
                          <w:rPr>
                            <w:sz w:val="20"/>
                            <w:szCs w:val="20"/>
                          </w:rPr>
                          <w:t>280</w:t>
                        </w:r>
                      </w:p>
                    </w:tc>
                    <w:tc>
                      <w:tcPr>
                        <w:tcW w:w="825" w:type="dxa"/>
                        <w:tcBorders>
                          <w:top w:val="single" w:sz="6" w:space="0" w:color="989898"/>
                          <w:left w:val="single" w:sz="6" w:space="0" w:color="989898"/>
                          <w:bottom w:val="single" w:sz="6" w:space="0" w:color="989898"/>
                          <w:right w:val="single" w:sz="6" w:space="0" w:color="989898"/>
                        </w:tcBorders>
                        <w:hideMark/>
                      </w:tcPr>
                      <w:p w:rsidR="001E1265" w:rsidRDefault="001E1265">
                        <w:pPr>
                          <w:jc w:val="center"/>
                          <w:rPr>
                            <w:sz w:val="20"/>
                            <w:szCs w:val="20"/>
                          </w:rPr>
                        </w:pPr>
                        <w:r>
                          <w:rPr>
                            <w:sz w:val="20"/>
                            <w:szCs w:val="20"/>
                          </w:rPr>
                          <w:t>-1%</w:t>
                        </w:r>
                      </w:p>
                    </w:tc>
                  </w:tr>
                  <w:tr w:rsidR="001E1265">
                    <w:trPr>
                      <w:trHeight w:val="210"/>
                      <w:jc w:val="center"/>
                    </w:trPr>
                    <w:tc>
                      <w:tcPr>
                        <w:tcW w:w="5340" w:type="dxa"/>
                        <w:tcBorders>
                          <w:top w:val="single" w:sz="6" w:space="0" w:color="989898"/>
                          <w:left w:val="single" w:sz="6" w:space="0" w:color="989898"/>
                          <w:bottom w:val="single" w:sz="6" w:space="0" w:color="989898"/>
                          <w:right w:val="single" w:sz="6" w:space="0" w:color="989898"/>
                        </w:tcBorders>
                        <w:hideMark/>
                      </w:tcPr>
                      <w:p w:rsidR="001E1265" w:rsidRDefault="001E1265">
                        <w:pPr>
                          <w:spacing w:line="210" w:lineRule="atLeast"/>
                        </w:pPr>
                        <w:r>
                          <w:rPr>
                            <w:sz w:val="20"/>
                            <w:szCs w:val="20"/>
                          </w:rPr>
                          <w:t>Single-family median closed price (month/month)</w:t>
                        </w:r>
                      </w:p>
                    </w:tc>
                    <w:tc>
                      <w:tcPr>
                        <w:tcW w:w="945" w:type="dxa"/>
                        <w:tcBorders>
                          <w:top w:val="single" w:sz="6" w:space="0" w:color="989898"/>
                          <w:left w:val="single" w:sz="6" w:space="0" w:color="989898"/>
                          <w:bottom w:val="single" w:sz="6" w:space="0" w:color="989898"/>
                          <w:right w:val="single" w:sz="6" w:space="0" w:color="989898"/>
                        </w:tcBorders>
                        <w:hideMark/>
                      </w:tcPr>
                      <w:p w:rsidR="001E1265" w:rsidRDefault="001E1265">
                        <w:pPr>
                          <w:jc w:val="center"/>
                          <w:rPr>
                            <w:sz w:val="20"/>
                            <w:szCs w:val="20"/>
                          </w:rPr>
                        </w:pPr>
                        <w:r>
                          <w:rPr>
                            <w:sz w:val="20"/>
                            <w:szCs w:val="20"/>
                          </w:rPr>
                          <w:t>$397,000</w:t>
                        </w:r>
                      </w:p>
                    </w:tc>
                    <w:tc>
                      <w:tcPr>
                        <w:tcW w:w="1005" w:type="dxa"/>
                        <w:tcBorders>
                          <w:top w:val="single" w:sz="6" w:space="0" w:color="989898"/>
                          <w:left w:val="single" w:sz="6" w:space="0" w:color="989898"/>
                          <w:bottom w:val="single" w:sz="6" w:space="0" w:color="989898"/>
                          <w:right w:val="single" w:sz="6" w:space="0" w:color="989898"/>
                        </w:tcBorders>
                        <w:hideMark/>
                      </w:tcPr>
                      <w:p w:rsidR="001E1265" w:rsidRDefault="001E1265">
                        <w:pPr>
                          <w:jc w:val="center"/>
                          <w:rPr>
                            <w:sz w:val="20"/>
                            <w:szCs w:val="20"/>
                          </w:rPr>
                        </w:pPr>
                        <w:r>
                          <w:rPr>
                            <w:sz w:val="20"/>
                            <w:szCs w:val="20"/>
                          </w:rPr>
                          <w:t>$430,000</w:t>
                        </w:r>
                      </w:p>
                    </w:tc>
                    <w:tc>
                      <w:tcPr>
                        <w:tcW w:w="825" w:type="dxa"/>
                        <w:tcBorders>
                          <w:top w:val="single" w:sz="6" w:space="0" w:color="989898"/>
                          <w:left w:val="single" w:sz="6" w:space="0" w:color="989898"/>
                          <w:bottom w:val="single" w:sz="6" w:space="0" w:color="989898"/>
                          <w:right w:val="single" w:sz="6" w:space="0" w:color="989898"/>
                        </w:tcBorders>
                        <w:hideMark/>
                      </w:tcPr>
                      <w:p w:rsidR="001E1265" w:rsidRDefault="001E1265">
                        <w:pPr>
                          <w:jc w:val="center"/>
                          <w:rPr>
                            <w:sz w:val="20"/>
                            <w:szCs w:val="20"/>
                          </w:rPr>
                        </w:pPr>
                        <w:r>
                          <w:rPr>
                            <w:sz w:val="20"/>
                            <w:szCs w:val="20"/>
                          </w:rPr>
                          <w:t>8%</w:t>
                        </w:r>
                      </w:p>
                    </w:tc>
                  </w:tr>
                  <w:tr w:rsidR="001E1265">
                    <w:trPr>
                      <w:trHeight w:val="210"/>
                      <w:jc w:val="center"/>
                    </w:trPr>
                    <w:tc>
                      <w:tcPr>
                        <w:tcW w:w="5340" w:type="dxa"/>
                        <w:tcBorders>
                          <w:top w:val="single" w:sz="6" w:space="0" w:color="989898"/>
                          <w:left w:val="single" w:sz="6" w:space="0" w:color="989898"/>
                          <w:bottom w:val="single" w:sz="6" w:space="0" w:color="989898"/>
                          <w:right w:val="single" w:sz="6" w:space="0" w:color="989898"/>
                        </w:tcBorders>
                        <w:hideMark/>
                      </w:tcPr>
                      <w:p w:rsidR="001E1265" w:rsidRDefault="001E1265">
                        <w:pPr>
                          <w:spacing w:line="210" w:lineRule="atLeast"/>
                        </w:pPr>
                        <w:r>
                          <w:rPr>
                            <w:sz w:val="20"/>
                            <w:szCs w:val="20"/>
                          </w:rPr>
                          <w:t>Single-family inventory</w:t>
                        </w:r>
                      </w:p>
                    </w:tc>
                    <w:tc>
                      <w:tcPr>
                        <w:tcW w:w="945" w:type="dxa"/>
                        <w:tcBorders>
                          <w:top w:val="single" w:sz="6" w:space="0" w:color="989898"/>
                          <w:left w:val="single" w:sz="6" w:space="0" w:color="989898"/>
                          <w:bottom w:val="single" w:sz="6" w:space="0" w:color="989898"/>
                          <w:right w:val="single" w:sz="6" w:space="0" w:color="989898"/>
                        </w:tcBorders>
                        <w:hideMark/>
                      </w:tcPr>
                      <w:p w:rsidR="001E1265" w:rsidRDefault="001E1265">
                        <w:pPr>
                          <w:jc w:val="center"/>
                          <w:rPr>
                            <w:sz w:val="20"/>
                            <w:szCs w:val="20"/>
                          </w:rPr>
                        </w:pPr>
                        <w:r>
                          <w:rPr>
                            <w:sz w:val="20"/>
                            <w:szCs w:val="20"/>
                          </w:rPr>
                          <w:t>3,219</w:t>
                        </w:r>
                      </w:p>
                    </w:tc>
                    <w:tc>
                      <w:tcPr>
                        <w:tcW w:w="1005" w:type="dxa"/>
                        <w:tcBorders>
                          <w:top w:val="single" w:sz="6" w:space="0" w:color="989898"/>
                          <w:left w:val="single" w:sz="6" w:space="0" w:color="989898"/>
                          <w:bottom w:val="single" w:sz="6" w:space="0" w:color="989898"/>
                          <w:right w:val="single" w:sz="6" w:space="0" w:color="989898"/>
                        </w:tcBorders>
                        <w:hideMark/>
                      </w:tcPr>
                      <w:p w:rsidR="001E1265" w:rsidRDefault="001E1265">
                        <w:pPr>
                          <w:jc w:val="center"/>
                          <w:rPr>
                            <w:sz w:val="20"/>
                            <w:szCs w:val="20"/>
                          </w:rPr>
                        </w:pPr>
                        <w:r>
                          <w:rPr>
                            <w:sz w:val="20"/>
                            <w:szCs w:val="20"/>
                          </w:rPr>
                          <w:t>2,961</w:t>
                        </w:r>
                      </w:p>
                    </w:tc>
                    <w:tc>
                      <w:tcPr>
                        <w:tcW w:w="825" w:type="dxa"/>
                        <w:tcBorders>
                          <w:top w:val="single" w:sz="6" w:space="0" w:color="989898"/>
                          <w:left w:val="single" w:sz="6" w:space="0" w:color="989898"/>
                          <w:bottom w:val="single" w:sz="6" w:space="0" w:color="989898"/>
                          <w:right w:val="single" w:sz="6" w:space="0" w:color="989898"/>
                        </w:tcBorders>
                        <w:hideMark/>
                      </w:tcPr>
                      <w:p w:rsidR="001E1265" w:rsidRDefault="001E1265">
                        <w:pPr>
                          <w:jc w:val="center"/>
                          <w:rPr>
                            <w:sz w:val="20"/>
                            <w:szCs w:val="20"/>
                          </w:rPr>
                        </w:pPr>
                        <w:r>
                          <w:rPr>
                            <w:sz w:val="20"/>
                            <w:szCs w:val="20"/>
                          </w:rPr>
                          <w:t>-8%</w:t>
                        </w:r>
                      </w:p>
                    </w:tc>
                  </w:tr>
                  <w:tr w:rsidR="001E1265">
                    <w:trPr>
                      <w:trHeight w:val="210"/>
                      <w:jc w:val="center"/>
                    </w:trPr>
                    <w:tc>
                      <w:tcPr>
                        <w:tcW w:w="5340" w:type="dxa"/>
                        <w:tcBorders>
                          <w:top w:val="single" w:sz="6" w:space="0" w:color="989898"/>
                          <w:left w:val="single" w:sz="6" w:space="0" w:color="989898"/>
                          <w:bottom w:val="single" w:sz="6" w:space="0" w:color="989898"/>
                          <w:right w:val="single" w:sz="6" w:space="0" w:color="989898"/>
                        </w:tcBorders>
                        <w:hideMark/>
                      </w:tcPr>
                      <w:p w:rsidR="001E1265" w:rsidRDefault="001E1265">
                        <w:pPr>
                          <w:spacing w:line="210" w:lineRule="atLeast"/>
                        </w:pPr>
                        <w:r>
                          <w:rPr>
                            <w:sz w:val="20"/>
                            <w:szCs w:val="20"/>
                          </w:rPr>
                          <w:t>Condominium closed sales (month/month)</w:t>
                        </w:r>
                      </w:p>
                    </w:tc>
                    <w:tc>
                      <w:tcPr>
                        <w:tcW w:w="945" w:type="dxa"/>
                        <w:tcBorders>
                          <w:top w:val="single" w:sz="6" w:space="0" w:color="989898"/>
                          <w:left w:val="single" w:sz="6" w:space="0" w:color="989898"/>
                          <w:bottom w:val="single" w:sz="6" w:space="0" w:color="989898"/>
                          <w:right w:val="single" w:sz="6" w:space="0" w:color="989898"/>
                        </w:tcBorders>
                        <w:hideMark/>
                      </w:tcPr>
                      <w:p w:rsidR="001E1265" w:rsidRDefault="001E1265">
                        <w:pPr>
                          <w:jc w:val="center"/>
                          <w:rPr>
                            <w:sz w:val="20"/>
                            <w:szCs w:val="20"/>
                          </w:rPr>
                        </w:pPr>
                        <w:r>
                          <w:rPr>
                            <w:sz w:val="20"/>
                            <w:szCs w:val="20"/>
                          </w:rPr>
                          <w:t>319</w:t>
                        </w:r>
                      </w:p>
                    </w:tc>
                    <w:tc>
                      <w:tcPr>
                        <w:tcW w:w="1005" w:type="dxa"/>
                        <w:tcBorders>
                          <w:top w:val="single" w:sz="6" w:space="0" w:color="989898"/>
                          <w:left w:val="single" w:sz="6" w:space="0" w:color="989898"/>
                          <w:bottom w:val="single" w:sz="6" w:space="0" w:color="989898"/>
                          <w:right w:val="single" w:sz="6" w:space="0" w:color="989898"/>
                        </w:tcBorders>
                        <w:hideMark/>
                      </w:tcPr>
                      <w:p w:rsidR="001E1265" w:rsidRDefault="001E1265">
                        <w:pPr>
                          <w:jc w:val="center"/>
                          <w:rPr>
                            <w:sz w:val="20"/>
                            <w:szCs w:val="20"/>
                          </w:rPr>
                        </w:pPr>
                        <w:r>
                          <w:rPr>
                            <w:sz w:val="20"/>
                            <w:szCs w:val="20"/>
                          </w:rPr>
                          <w:t>391</w:t>
                        </w:r>
                      </w:p>
                    </w:tc>
                    <w:tc>
                      <w:tcPr>
                        <w:tcW w:w="825" w:type="dxa"/>
                        <w:tcBorders>
                          <w:top w:val="single" w:sz="6" w:space="0" w:color="989898"/>
                          <w:left w:val="single" w:sz="6" w:space="0" w:color="989898"/>
                          <w:bottom w:val="single" w:sz="6" w:space="0" w:color="989898"/>
                          <w:right w:val="single" w:sz="6" w:space="0" w:color="989898"/>
                        </w:tcBorders>
                        <w:hideMark/>
                      </w:tcPr>
                      <w:p w:rsidR="001E1265" w:rsidRDefault="001E1265">
                        <w:pPr>
                          <w:jc w:val="center"/>
                          <w:rPr>
                            <w:sz w:val="20"/>
                            <w:szCs w:val="20"/>
                          </w:rPr>
                        </w:pPr>
                        <w:r>
                          <w:rPr>
                            <w:sz w:val="20"/>
                            <w:szCs w:val="20"/>
                          </w:rPr>
                          <w:t>23%</w:t>
                        </w:r>
                      </w:p>
                    </w:tc>
                  </w:tr>
                  <w:tr w:rsidR="001E1265">
                    <w:trPr>
                      <w:trHeight w:val="210"/>
                      <w:jc w:val="center"/>
                    </w:trPr>
                    <w:tc>
                      <w:tcPr>
                        <w:tcW w:w="5340" w:type="dxa"/>
                        <w:tcBorders>
                          <w:top w:val="single" w:sz="6" w:space="0" w:color="989898"/>
                          <w:left w:val="single" w:sz="6" w:space="0" w:color="989898"/>
                          <w:bottom w:val="single" w:sz="6" w:space="0" w:color="989898"/>
                          <w:right w:val="single" w:sz="6" w:space="0" w:color="989898"/>
                        </w:tcBorders>
                        <w:hideMark/>
                      </w:tcPr>
                      <w:p w:rsidR="001E1265" w:rsidRDefault="001E1265">
                        <w:pPr>
                          <w:spacing w:line="210" w:lineRule="atLeast"/>
                        </w:pPr>
                        <w:r>
                          <w:rPr>
                            <w:sz w:val="20"/>
                            <w:szCs w:val="20"/>
                          </w:rPr>
                          <w:t>Condominium median closed price (month/month)</w:t>
                        </w:r>
                      </w:p>
                    </w:tc>
                    <w:tc>
                      <w:tcPr>
                        <w:tcW w:w="945" w:type="dxa"/>
                        <w:tcBorders>
                          <w:top w:val="single" w:sz="6" w:space="0" w:color="989898"/>
                          <w:left w:val="single" w:sz="6" w:space="0" w:color="989898"/>
                          <w:bottom w:val="single" w:sz="6" w:space="0" w:color="989898"/>
                          <w:right w:val="single" w:sz="6" w:space="0" w:color="989898"/>
                        </w:tcBorders>
                        <w:hideMark/>
                      </w:tcPr>
                      <w:p w:rsidR="001E1265" w:rsidRDefault="001E1265">
                        <w:pPr>
                          <w:jc w:val="center"/>
                          <w:rPr>
                            <w:sz w:val="20"/>
                            <w:szCs w:val="20"/>
                          </w:rPr>
                        </w:pPr>
                        <w:r>
                          <w:rPr>
                            <w:sz w:val="20"/>
                            <w:szCs w:val="20"/>
                          </w:rPr>
                          <w:t>$265,000</w:t>
                        </w:r>
                      </w:p>
                    </w:tc>
                    <w:tc>
                      <w:tcPr>
                        <w:tcW w:w="1005" w:type="dxa"/>
                        <w:tcBorders>
                          <w:top w:val="single" w:sz="6" w:space="0" w:color="989898"/>
                          <w:left w:val="single" w:sz="6" w:space="0" w:color="989898"/>
                          <w:bottom w:val="single" w:sz="6" w:space="0" w:color="989898"/>
                          <w:right w:val="single" w:sz="6" w:space="0" w:color="989898"/>
                        </w:tcBorders>
                        <w:hideMark/>
                      </w:tcPr>
                      <w:p w:rsidR="001E1265" w:rsidRDefault="001E1265">
                        <w:pPr>
                          <w:jc w:val="center"/>
                          <w:rPr>
                            <w:sz w:val="20"/>
                            <w:szCs w:val="20"/>
                          </w:rPr>
                        </w:pPr>
                        <w:r>
                          <w:rPr>
                            <w:sz w:val="20"/>
                            <w:szCs w:val="20"/>
                          </w:rPr>
                          <w:t>$320,000</w:t>
                        </w:r>
                      </w:p>
                    </w:tc>
                    <w:tc>
                      <w:tcPr>
                        <w:tcW w:w="825" w:type="dxa"/>
                        <w:tcBorders>
                          <w:top w:val="single" w:sz="6" w:space="0" w:color="989898"/>
                          <w:left w:val="single" w:sz="6" w:space="0" w:color="989898"/>
                          <w:bottom w:val="single" w:sz="6" w:space="0" w:color="989898"/>
                          <w:right w:val="single" w:sz="6" w:space="0" w:color="989898"/>
                        </w:tcBorders>
                        <w:hideMark/>
                      </w:tcPr>
                      <w:p w:rsidR="001E1265" w:rsidRDefault="001E1265">
                        <w:pPr>
                          <w:jc w:val="center"/>
                          <w:rPr>
                            <w:sz w:val="20"/>
                            <w:szCs w:val="20"/>
                          </w:rPr>
                        </w:pPr>
                        <w:r>
                          <w:rPr>
                            <w:sz w:val="20"/>
                            <w:szCs w:val="20"/>
                          </w:rPr>
                          <w:t>21%</w:t>
                        </w:r>
                      </w:p>
                    </w:tc>
                  </w:tr>
                  <w:tr w:rsidR="001E1265">
                    <w:trPr>
                      <w:trHeight w:val="210"/>
                      <w:jc w:val="center"/>
                    </w:trPr>
                    <w:tc>
                      <w:tcPr>
                        <w:tcW w:w="5340" w:type="dxa"/>
                        <w:tcBorders>
                          <w:top w:val="single" w:sz="6" w:space="0" w:color="989898"/>
                          <w:left w:val="single" w:sz="6" w:space="0" w:color="989898"/>
                          <w:bottom w:val="single" w:sz="6" w:space="0" w:color="989898"/>
                          <w:right w:val="single" w:sz="6" w:space="0" w:color="989898"/>
                        </w:tcBorders>
                        <w:hideMark/>
                      </w:tcPr>
                      <w:p w:rsidR="001E1265" w:rsidRDefault="001E1265">
                        <w:pPr>
                          <w:spacing w:line="210" w:lineRule="atLeast"/>
                        </w:pPr>
                        <w:r>
                          <w:rPr>
                            <w:sz w:val="20"/>
                            <w:szCs w:val="20"/>
                          </w:rPr>
                          <w:t>Condominium inventory</w:t>
                        </w:r>
                      </w:p>
                    </w:tc>
                    <w:tc>
                      <w:tcPr>
                        <w:tcW w:w="945" w:type="dxa"/>
                        <w:tcBorders>
                          <w:top w:val="single" w:sz="6" w:space="0" w:color="989898"/>
                          <w:left w:val="single" w:sz="6" w:space="0" w:color="989898"/>
                          <w:bottom w:val="single" w:sz="6" w:space="0" w:color="989898"/>
                          <w:right w:val="single" w:sz="6" w:space="0" w:color="989898"/>
                        </w:tcBorders>
                        <w:hideMark/>
                      </w:tcPr>
                      <w:p w:rsidR="001E1265" w:rsidRDefault="001E1265">
                        <w:pPr>
                          <w:jc w:val="center"/>
                          <w:rPr>
                            <w:sz w:val="20"/>
                            <w:szCs w:val="20"/>
                          </w:rPr>
                        </w:pPr>
                        <w:r>
                          <w:rPr>
                            <w:sz w:val="20"/>
                            <w:szCs w:val="20"/>
                          </w:rPr>
                          <w:t>3,174</w:t>
                        </w:r>
                      </w:p>
                    </w:tc>
                    <w:tc>
                      <w:tcPr>
                        <w:tcW w:w="1005" w:type="dxa"/>
                        <w:tcBorders>
                          <w:top w:val="single" w:sz="6" w:space="0" w:color="989898"/>
                          <w:left w:val="single" w:sz="6" w:space="0" w:color="989898"/>
                          <w:bottom w:val="single" w:sz="6" w:space="0" w:color="989898"/>
                          <w:right w:val="single" w:sz="6" w:space="0" w:color="989898"/>
                        </w:tcBorders>
                        <w:hideMark/>
                      </w:tcPr>
                      <w:p w:rsidR="001E1265" w:rsidRDefault="001E1265">
                        <w:pPr>
                          <w:jc w:val="center"/>
                          <w:rPr>
                            <w:sz w:val="20"/>
                            <w:szCs w:val="20"/>
                          </w:rPr>
                        </w:pPr>
                        <w:r>
                          <w:rPr>
                            <w:sz w:val="20"/>
                            <w:szCs w:val="20"/>
                          </w:rPr>
                          <w:t>3,110</w:t>
                        </w:r>
                      </w:p>
                    </w:tc>
                    <w:tc>
                      <w:tcPr>
                        <w:tcW w:w="825" w:type="dxa"/>
                        <w:tcBorders>
                          <w:top w:val="single" w:sz="6" w:space="0" w:color="989898"/>
                          <w:left w:val="single" w:sz="6" w:space="0" w:color="989898"/>
                          <w:bottom w:val="single" w:sz="6" w:space="0" w:color="989898"/>
                          <w:right w:val="single" w:sz="6" w:space="0" w:color="989898"/>
                        </w:tcBorders>
                        <w:hideMark/>
                      </w:tcPr>
                      <w:p w:rsidR="001E1265" w:rsidRDefault="001E1265">
                        <w:pPr>
                          <w:jc w:val="center"/>
                          <w:rPr>
                            <w:sz w:val="20"/>
                            <w:szCs w:val="20"/>
                          </w:rPr>
                        </w:pPr>
                        <w:r>
                          <w:rPr>
                            <w:sz w:val="20"/>
                            <w:szCs w:val="20"/>
                          </w:rPr>
                          <w:t>-2%</w:t>
                        </w:r>
                      </w:p>
                    </w:tc>
                  </w:tr>
                </w:tbl>
                <w:p w:rsidR="001E1265" w:rsidRDefault="001E1265">
                  <w:pPr>
                    <w:spacing w:before="90" w:after="90"/>
                    <w:rPr>
                      <w:rFonts w:ascii="Arial" w:hAnsi="Arial" w:cs="Arial"/>
                      <w:color w:val="000000"/>
                    </w:rPr>
                  </w:pPr>
                  <w:r>
                    <w:rPr>
                      <w:rFonts w:ascii="Arial" w:hAnsi="Arial" w:cs="Arial"/>
                      <w:color w:val="000000"/>
                    </w:rPr>
                    <w:t> </w:t>
                  </w:r>
                </w:p>
                <w:p w:rsidR="001E1265" w:rsidRDefault="001E1265">
                  <w:pPr>
                    <w:spacing w:before="90" w:after="90"/>
                    <w:rPr>
                      <w:rFonts w:ascii="Arial" w:hAnsi="Arial" w:cs="Arial"/>
                      <w:color w:val="000000"/>
                      <w:sz w:val="20"/>
                      <w:szCs w:val="20"/>
                    </w:rPr>
                  </w:pPr>
                  <w:r>
                    <w:rPr>
                      <w:rFonts w:ascii="Arial" w:hAnsi="Arial" w:cs="Arial"/>
                      <w:color w:val="000000"/>
                      <w:sz w:val="20"/>
                      <w:szCs w:val="20"/>
                    </w:rPr>
                    <w:t xml:space="preserve">According to Carroll, the South Naples (34112, 34113) and East Naples (34114, 34117, 34120, 34137) single-family home markets continued to see the strongest increases in value in January, as reflected in 8 and 9 percent increases in median closed prices, respectively. </w:t>
                  </w:r>
                </w:p>
                <w:p w:rsidR="001E1265" w:rsidRDefault="001E1265">
                  <w:pPr>
                    <w:spacing w:before="90" w:after="90"/>
                    <w:rPr>
                      <w:rFonts w:ascii="Arial" w:hAnsi="Arial" w:cs="Arial"/>
                      <w:color w:val="000000"/>
                      <w:sz w:val="20"/>
                      <w:szCs w:val="20"/>
                    </w:rPr>
                  </w:pPr>
                  <w:r>
                    <w:rPr>
                      <w:rFonts w:ascii="Arial" w:hAnsi="Arial" w:cs="Arial"/>
                      <w:color w:val="000000"/>
                      <w:sz w:val="20"/>
                      <w:szCs w:val="20"/>
                    </w:rPr>
                    <w:t> </w:t>
                  </w:r>
                </w:p>
                <w:p w:rsidR="001E1265" w:rsidRDefault="001E1265">
                  <w:pPr>
                    <w:spacing w:before="90" w:after="90"/>
                    <w:rPr>
                      <w:rFonts w:ascii="Arial" w:hAnsi="Arial" w:cs="Arial"/>
                      <w:color w:val="000000"/>
                      <w:sz w:val="20"/>
                      <w:szCs w:val="20"/>
                    </w:rPr>
                  </w:pPr>
                  <w:r>
                    <w:rPr>
                      <w:rFonts w:ascii="Arial" w:hAnsi="Arial" w:cs="Arial"/>
                      <w:color w:val="000000"/>
                      <w:sz w:val="20"/>
                      <w:szCs w:val="20"/>
                    </w:rPr>
                    <w:t>Interestingly, and as confirmed by several broker analysts reviewing the January report, an unusual closed sales anomaly transpired in January that, while impacting figures for the month, does not influence the market's activity trend on a 12-month ending basis.</w:t>
                  </w:r>
                </w:p>
                <w:p w:rsidR="001E1265" w:rsidRDefault="001E1265">
                  <w:pPr>
                    <w:spacing w:before="90" w:after="90"/>
                    <w:rPr>
                      <w:rFonts w:ascii="Arial" w:hAnsi="Arial" w:cs="Arial"/>
                      <w:color w:val="000000"/>
                      <w:sz w:val="20"/>
                      <w:szCs w:val="20"/>
                    </w:rPr>
                  </w:pPr>
                  <w:r>
                    <w:rPr>
                      <w:rFonts w:ascii="Arial" w:hAnsi="Arial" w:cs="Arial"/>
                      <w:color w:val="000000"/>
                      <w:sz w:val="20"/>
                      <w:szCs w:val="20"/>
                    </w:rPr>
                    <w:t> </w:t>
                  </w:r>
                </w:p>
                <w:p w:rsidR="001E1265" w:rsidRDefault="001E1265">
                  <w:pPr>
                    <w:spacing w:before="90" w:after="90"/>
                    <w:rPr>
                      <w:rFonts w:ascii="Arial" w:hAnsi="Arial" w:cs="Arial"/>
                      <w:color w:val="000000"/>
                      <w:sz w:val="20"/>
                      <w:szCs w:val="20"/>
                    </w:rPr>
                  </w:pPr>
                  <w:r>
                    <w:rPr>
                      <w:rFonts w:ascii="Arial" w:hAnsi="Arial" w:cs="Arial"/>
                      <w:color w:val="000000"/>
                      <w:sz w:val="20"/>
                      <w:szCs w:val="20"/>
                    </w:rPr>
                    <w:t xml:space="preserve">Basically, and as explained by Hughes, "A newly constructed luxury high rise condominium in North Naples delayed the closings for 79 of its units that were previously pending until January. This in turn, influenced NABOR®'s closed sales, median closed price, and days on market statistics for the month." </w:t>
                  </w:r>
                </w:p>
                <w:p w:rsidR="001E1265" w:rsidRDefault="001E1265">
                  <w:pPr>
                    <w:spacing w:before="90" w:after="90"/>
                    <w:rPr>
                      <w:rFonts w:ascii="Arial" w:hAnsi="Arial" w:cs="Arial"/>
                      <w:color w:val="000000"/>
                      <w:sz w:val="20"/>
                      <w:szCs w:val="20"/>
                    </w:rPr>
                  </w:pPr>
                  <w:r>
                    <w:rPr>
                      <w:rFonts w:ascii="Arial" w:hAnsi="Arial" w:cs="Arial"/>
                      <w:color w:val="000000"/>
                      <w:sz w:val="20"/>
                      <w:szCs w:val="20"/>
                    </w:rPr>
                    <w:t> </w:t>
                  </w:r>
                </w:p>
                <w:p w:rsidR="001E1265" w:rsidRDefault="001E1265">
                  <w:pPr>
                    <w:spacing w:before="90" w:after="90"/>
                    <w:rPr>
                      <w:rFonts w:ascii="Arial" w:hAnsi="Arial" w:cs="Arial"/>
                      <w:color w:val="000000"/>
                      <w:sz w:val="20"/>
                      <w:szCs w:val="20"/>
                    </w:rPr>
                  </w:pPr>
                  <w:r>
                    <w:rPr>
                      <w:rFonts w:ascii="Arial" w:hAnsi="Arial" w:cs="Arial"/>
                      <w:color w:val="000000"/>
                      <w:sz w:val="20"/>
                      <w:szCs w:val="20"/>
                    </w:rPr>
                    <w:t>As reflected in the report, there were 150 closed sales of condominiums in the North Naples area in January (a 150 percent increase over January 2017). By the same token, because the 79 condominiums sold between $1.8 million and $2.5 million, the median closed price in this geographic area increased by 428 percent. The data also showed 0 days on the market for the 79 units. The closings were apparently postponed as a result of the hurricane disruption and not completed until January.</w:t>
                  </w:r>
                </w:p>
                <w:p w:rsidR="001E1265" w:rsidRDefault="001E1265">
                  <w:pPr>
                    <w:spacing w:before="90" w:after="90"/>
                    <w:rPr>
                      <w:rFonts w:ascii="Arial" w:hAnsi="Arial" w:cs="Arial"/>
                      <w:color w:val="000000"/>
                      <w:sz w:val="20"/>
                      <w:szCs w:val="20"/>
                    </w:rPr>
                  </w:pPr>
                  <w:r>
                    <w:rPr>
                      <w:rFonts w:ascii="Arial" w:hAnsi="Arial" w:cs="Arial"/>
                      <w:color w:val="000000"/>
                      <w:sz w:val="20"/>
                      <w:szCs w:val="20"/>
                    </w:rPr>
                    <w:t> </w:t>
                  </w:r>
                </w:p>
                <w:p w:rsidR="001E1265" w:rsidRDefault="001E1265">
                  <w:pPr>
                    <w:spacing w:before="90" w:after="90"/>
                    <w:rPr>
                      <w:rFonts w:ascii="Arial" w:hAnsi="Arial" w:cs="Arial"/>
                      <w:color w:val="000000"/>
                      <w:sz w:val="20"/>
                      <w:szCs w:val="20"/>
                    </w:rPr>
                  </w:pPr>
                  <w:r>
                    <w:rPr>
                      <w:rFonts w:ascii="Arial" w:hAnsi="Arial" w:cs="Arial"/>
                      <w:color w:val="000000"/>
                      <w:sz w:val="20"/>
                      <w:szCs w:val="20"/>
                    </w:rPr>
                    <w:t xml:space="preserve">"This type of anomaly is why it's best for REALTORS® to also review the 12-months ending data that accompanies each monthly report," said Brenda </w:t>
                  </w:r>
                  <w:proofErr w:type="spellStart"/>
                  <w:r>
                    <w:rPr>
                      <w:rFonts w:ascii="Arial" w:hAnsi="Arial" w:cs="Arial"/>
                      <w:color w:val="000000"/>
                      <w:sz w:val="20"/>
                      <w:szCs w:val="20"/>
                    </w:rPr>
                    <w:t>Fioretti</w:t>
                  </w:r>
                  <w:proofErr w:type="spellEnd"/>
                  <w:r>
                    <w:rPr>
                      <w:rFonts w:ascii="Arial" w:hAnsi="Arial" w:cs="Arial"/>
                      <w:color w:val="000000"/>
                      <w:sz w:val="20"/>
                      <w:szCs w:val="20"/>
                    </w:rPr>
                    <w:t xml:space="preserve">, Managing Broker at Berkshire Hathaway </w:t>
                  </w:r>
                  <w:proofErr w:type="spellStart"/>
                  <w:r>
                    <w:rPr>
                      <w:rFonts w:ascii="Arial" w:hAnsi="Arial" w:cs="Arial"/>
                      <w:color w:val="000000"/>
                      <w:sz w:val="20"/>
                      <w:szCs w:val="20"/>
                    </w:rPr>
                    <w:t>HomeServices</w:t>
                  </w:r>
                  <w:proofErr w:type="spellEnd"/>
                  <w:r>
                    <w:rPr>
                      <w:rFonts w:ascii="Arial" w:hAnsi="Arial" w:cs="Arial"/>
                      <w:color w:val="000000"/>
                      <w:sz w:val="20"/>
                      <w:szCs w:val="20"/>
                    </w:rPr>
                    <w:t xml:space="preserve"> Florida Realty. "We feel a long-view of the statistics reflects the market's true behavior better and will help REALTORS® educate both buyers and sellers on how the market is really performing." </w:t>
                  </w:r>
                </w:p>
                <w:p w:rsidR="001E1265" w:rsidRDefault="001E1265">
                  <w:pPr>
                    <w:spacing w:before="90" w:after="90"/>
                    <w:rPr>
                      <w:rFonts w:ascii="Arial" w:hAnsi="Arial" w:cs="Arial"/>
                      <w:color w:val="000000"/>
                      <w:sz w:val="20"/>
                      <w:szCs w:val="20"/>
                    </w:rPr>
                  </w:pPr>
                  <w:r>
                    <w:rPr>
                      <w:rFonts w:ascii="Arial" w:hAnsi="Arial" w:cs="Arial"/>
                      <w:color w:val="000000"/>
                      <w:sz w:val="20"/>
                      <w:szCs w:val="20"/>
                    </w:rPr>
                    <w:t> </w:t>
                  </w:r>
                </w:p>
                <w:p w:rsidR="001E1265" w:rsidRDefault="001E1265">
                  <w:pPr>
                    <w:spacing w:before="90" w:after="90"/>
                    <w:rPr>
                      <w:rFonts w:ascii="Arial" w:hAnsi="Arial" w:cs="Arial"/>
                      <w:color w:val="000000"/>
                      <w:sz w:val="20"/>
                      <w:szCs w:val="20"/>
                    </w:rPr>
                  </w:pPr>
                  <w:r>
                    <w:rPr>
                      <w:rFonts w:ascii="Arial" w:hAnsi="Arial" w:cs="Arial"/>
                      <w:color w:val="000000"/>
                      <w:sz w:val="20"/>
                      <w:szCs w:val="20"/>
                    </w:rPr>
                    <w:t>To ensure your next sale or purchase in the Naples area is a success, contact a REALTOR® on Naplesarea.com.</w:t>
                  </w:r>
                </w:p>
                <w:p w:rsidR="001E1265" w:rsidRDefault="001E1265">
                  <w:pPr>
                    <w:spacing w:before="90" w:after="90"/>
                    <w:rPr>
                      <w:rFonts w:ascii="Arial" w:hAnsi="Arial" w:cs="Arial"/>
                      <w:color w:val="000000"/>
                      <w:sz w:val="20"/>
                      <w:szCs w:val="20"/>
                    </w:rPr>
                  </w:pPr>
                </w:p>
                <w:p w:rsidR="001E1265" w:rsidRDefault="001E1265">
                  <w:pPr>
                    <w:spacing w:before="90" w:after="90"/>
                    <w:rPr>
                      <w:rFonts w:ascii="Arial" w:hAnsi="Arial" w:cs="Arial"/>
                      <w:color w:val="000000"/>
                      <w:sz w:val="16"/>
                      <w:szCs w:val="16"/>
                    </w:rPr>
                  </w:pPr>
                  <w:r>
                    <w:rPr>
                      <w:rStyle w:val="Emphasis"/>
                      <w:rFonts w:ascii="Arial" w:hAnsi="Arial" w:cs="Arial"/>
                      <w:color w:val="000000"/>
                      <w:sz w:val="16"/>
                      <w:szCs w:val="16"/>
                    </w:rPr>
                    <w:t xml:space="preserve">The Naples Area Board of REALTORS® (NABOR®) is an established organization (Chartered in 1949) whose members </w:t>
                  </w:r>
                  <w:r>
                    <w:rPr>
                      <w:rStyle w:val="Emphasis"/>
                      <w:rFonts w:ascii="Arial" w:hAnsi="Arial" w:cs="Arial"/>
                      <w:color w:val="000000"/>
                      <w:sz w:val="16"/>
                      <w:szCs w:val="16"/>
                    </w:rPr>
                    <w:lastRenderedPageBreak/>
                    <w:t xml:space="preserve">have a positive and progressive impact on the Naples Community. NABOR® is a local board of REALTORS® and real estate professionals with a legacy of nearly 60 years serving 6,000 plus members. NABOR® is a member of the Florida Realtors and the National Association of REALTORS®, which is the largest association in the United States with more than 1.3 million members and over 1,400 local </w:t>
                  </w:r>
                  <w:proofErr w:type="gramStart"/>
                  <w:r>
                    <w:rPr>
                      <w:rStyle w:val="Emphasis"/>
                      <w:rFonts w:ascii="Arial" w:hAnsi="Arial" w:cs="Arial"/>
                      <w:color w:val="000000"/>
                      <w:sz w:val="16"/>
                      <w:szCs w:val="16"/>
                    </w:rPr>
                    <w:t>board</w:t>
                  </w:r>
                  <w:proofErr w:type="gramEnd"/>
                  <w:r>
                    <w:rPr>
                      <w:rStyle w:val="Emphasis"/>
                      <w:rFonts w:ascii="Arial" w:hAnsi="Arial" w:cs="Arial"/>
                      <w:color w:val="000000"/>
                      <w:sz w:val="16"/>
                      <w:szCs w:val="16"/>
                    </w:rPr>
                    <w:t xml:space="preserve"> of REALTORS® nationwide. NABOR® is structured to provide programs and services to its membership through various committees and the NABOR® Board of Directors, all of whose members are non-paid volunteers.</w:t>
                  </w:r>
                </w:p>
                <w:p w:rsidR="001E1265" w:rsidRDefault="001E1265">
                  <w:pPr>
                    <w:spacing w:before="90" w:after="90"/>
                    <w:rPr>
                      <w:rFonts w:ascii="Arial" w:hAnsi="Arial" w:cs="Arial"/>
                      <w:color w:val="000000"/>
                      <w:sz w:val="16"/>
                      <w:szCs w:val="16"/>
                    </w:rPr>
                  </w:pPr>
                  <w:r>
                    <w:rPr>
                      <w:rStyle w:val="Emphasis"/>
                      <w:rFonts w:ascii="Arial" w:hAnsi="Arial" w:cs="Arial"/>
                      <w:color w:val="000000"/>
                      <w:sz w:val="16"/>
                      <w:szCs w:val="16"/>
                    </w:rPr>
                    <w:t>  </w:t>
                  </w:r>
                </w:p>
                <w:p w:rsidR="001E1265" w:rsidRDefault="001E1265">
                  <w:pPr>
                    <w:spacing w:before="90" w:after="90"/>
                    <w:rPr>
                      <w:rFonts w:ascii="Arial" w:hAnsi="Arial" w:cs="Arial"/>
                      <w:color w:val="000000"/>
                      <w:sz w:val="16"/>
                      <w:szCs w:val="16"/>
                    </w:rPr>
                  </w:pPr>
                  <w:r>
                    <w:rPr>
                      <w:rStyle w:val="Emphasis"/>
                      <w:rFonts w:ascii="Arial" w:hAnsi="Arial" w:cs="Arial"/>
                      <w:color w:val="000000"/>
                      <w:sz w:val="16"/>
                      <w:szCs w:val="16"/>
                    </w:rPr>
                    <w:t>The term REALTOR® is a registered collective membership mark which identifies a real estate professional who is a member of the National Association of REALTORS® and who subscribe to its strict Code of Ethics.</w:t>
                  </w:r>
                </w:p>
                <w:p w:rsidR="001E1265" w:rsidRDefault="001E1265">
                  <w:pPr>
                    <w:spacing w:before="90" w:after="90"/>
                    <w:rPr>
                      <w:rFonts w:ascii="Arial" w:hAnsi="Arial" w:cs="Arial"/>
                      <w:color w:val="000000"/>
                      <w:sz w:val="20"/>
                      <w:szCs w:val="20"/>
                    </w:rPr>
                  </w:pPr>
                </w:p>
                <w:p w:rsidR="001E1265" w:rsidRDefault="001E1265">
                  <w:pPr>
                    <w:spacing w:before="90" w:after="90"/>
                    <w:rPr>
                      <w:rFonts w:ascii="Arial" w:hAnsi="Arial" w:cs="Arial"/>
                      <w:color w:val="000000"/>
                      <w:sz w:val="20"/>
                      <w:szCs w:val="20"/>
                    </w:rPr>
                  </w:pPr>
                  <w:hyperlink r:id="rId8" w:tgtFrame="_blank" w:tooltip="undefined" w:history="1">
                    <w:r>
                      <w:rPr>
                        <w:rStyle w:val="Hyperlink"/>
                        <w:rFonts w:ascii="Arial" w:hAnsi="Arial" w:cs="Arial"/>
                        <w:sz w:val="20"/>
                        <w:szCs w:val="20"/>
                      </w:rPr>
                      <w:t>View January 2018 Market Statistics</w:t>
                    </w:r>
                  </w:hyperlink>
                </w:p>
                <w:p w:rsidR="001E1265" w:rsidRDefault="001E1265">
                  <w:pPr>
                    <w:spacing w:before="90" w:after="90"/>
                    <w:rPr>
                      <w:rFonts w:ascii="Arial" w:hAnsi="Arial" w:cs="Arial"/>
                      <w:color w:val="000000"/>
                      <w:sz w:val="20"/>
                      <w:szCs w:val="20"/>
                    </w:rPr>
                  </w:pPr>
                  <w:r>
                    <w:rPr>
                      <w:rFonts w:ascii="Arial" w:hAnsi="Arial" w:cs="Arial"/>
                      <w:color w:val="000000"/>
                      <w:sz w:val="20"/>
                      <w:szCs w:val="20"/>
                    </w:rPr>
                    <w:t>  </w:t>
                  </w:r>
                </w:p>
                <w:p w:rsidR="001E1265" w:rsidRDefault="001E1265">
                  <w:pPr>
                    <w:spacing w:before="90" w:after="90"/>
                    <w:rPr>
                      <w:rFonts w:ascii="Arial" w:hAnsi="Arial" w:cs="Arial"/>
                      <w:color w:val="000000"/>
                      <w:sz w:val="20"/>
                      <w:szCs w:val="20"/>
                    </w:rPr>
                  </w:pPr>
                  <w:r>
                    <w:rPr>
                      <w:rFonts w:ascii="Arial" w:hAnsi="Arial" w:cs="Arial"/>
                      <w:color w:val="000000"/>
                      <w:sz w:val="20"/>
                      <w:szCs w:val="20"/>
                    </w:rPr>
                    <w:t xml:space="preserve">To view the entire report, visit </w:t>
                  </w:r>
                  <w:hyperlink r:id="rId9" w:tgtFrame="_blank" w:history="1">
                    <w:r>
                      <w:rPr>
                        <w:rStyle w:val="Hyperlink"/>
                        <w:rFonts w:ascii="Arial" w:hAnsi="Arial" w:cs="Arial"/>
                        <w:sz w:val="20"/>
                        <w:szCs w:val="20"/>
                      </w:rPr>
                      <w:t>www.NaplesArea.com</w:t>
                    </w:r>
                  </w:hyperlink>
                </w:p>
              </w:tc>
            </w:tr>
          </w:tbl>
          <w:p w:rsidR="001E1265" w:rsidRDefault="001E1265">
            <w:pPr>
              <w:rPr>
                <w:sz w:val="20"/>
                <w:szCs w:val="20"/>
              </w:rPr>
            </w:pPr>
          </w:p>
        </w:tc>
      </w:tr>
    </w:tbl>
    <w:p w:rsidR="001E1265" w:rsidRDefault="001E1265"/>
    <w:sectPr w:rsidR="001E12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265"/>
    <w:rsid w:val="001E1265"/>
    <w:rsid w:val="00504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2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1265"/>
    <w:rPr>
      <w:color w:val="0000FF"/>
      <w:u w:val="single"/>
    </w:rPr>
  </w:style>
  <w:style w:type="character" w:styleId="Emphasis">
    <w:name w:val="Emphasis"/>
    <w:basedOn w:val="DefaultParagraphFont"/>
    <w:uiPriority w:val="20"/>
    <w:qFormat/>
    <w:rsid w:val="001E1265"/>
    <w:rPr>
      <w:i/>
      <w:iCs/>
    </w:rPr>
  </w:style>
  <w:style w:type="character" w:styleId="Strong">
    <w:name w:val="Strong"/>
    <w:basedOn w:val="DefaultParagraphFont"/>
    <w:uiPriority w:val="22"/>
    <w:qFormat/>
    <w:rsid w:val="001E1265"/>
    <w:rPr>
      <w:b/>
      <w:bCs/>
    </w:rPr>
  </w:style>
  <w:style w:type="paragraph" w:styleId="BalloonText">
    <w:name w:val="Balloon Text"/>
    <w:basedOn w:val="Normal"/>
    <w:link w:val="BalloonTextChar"/>
    <w:uiPriority w:val="99"/>
    <w:semiHidden/>
    <w:unhideWhenUsed/>
    <w:rsid w:val="001E1265"/>
    <w:rPr>
      <w:rFonts w:ascii="Tahoma" w:hAnsi="Tahoma" w:cs="Tahoma"/>
      <w:sz w:val="16"/>
      <w:szCs w:val="16"/>
    </w:rPr>
  </w:style>
  <w:style w:type="character" w:customStyle="1" w:styleId="BalloonTextChar">
    <w:name w:val="Balloon Text Char"/>
    <w:basedOn w:val="DefaultParagraphFont"/>
    <w:link w:val="BalloonText"/>
    <w:uiPriority w:val="99"/>
    <w:semiHidden/>
    <w:rsid w:val="001E126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2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1265"/>
    <w:rPr>
      <w:color w:val="0000FF"/>
      <w:u w:val="single"/>
    </w:rPr>
  </w:style>
  <w:style w:type="character" w:styleId="Emphasis">
    <w:name w:val="Emphasis"/>
    <w:basedOn w:val="DefaultParagraphFont"/>
    <w:uiPriority w:val="20"/>
    <w:qFormat/>
    <w:rsid w:val="001E1265"/>
    <w:rPr>
      <w:i/>
      <w:iCs/>
    </w:rPr>
  </w:style>
  <w:style w:type="character" w:styleId="Strong">
    <w:name w:val="Strong"/>
    <w:basedOn w:val="DefaultParagraphFont"/>
    <w:uiPriority w:val="22"/>
    <w:qFormat/>
    <w:rsid w:val="001E1265"/>
    <w:rPr>
      <w:b/>
      <w:bCs/>
    </w:rPr>
  </w:style>
  <w:style w:type="paragraph" w:styleId="BalloonText">
    <w:name w:val="Balloon Text"/>
    <w:basedOn w:val="Normal"/>
    <w:link w:val="BalloonTextChar"/>
    <w:uiPriority w:val="99"/>
    <w:semiHidden/>
    <w:unhideWhenUsed/>
    <w:rsid w:val="001E1265"/>
    <w:rPr>
      <w:rFonts w:ascii="Tahoma" w:hAnsi="Tahoma" w:cs="Tahoma"/>
      <w:sz w:val="16"/>
      <w:szCs w:val="16"/>
    </w:rPr>
  </w:style>
  <w:style w:type="character" w:customStyle="1" w:styleId="BalloonTextChar">
    <w:name w:val="Balloon Text Char"/>
    <w:basedOn w:val="DefaultParagraphFont"/>
    <w:link w:val="BalloonText"/>
    <w:uiPriority w:val="99"/>
    <w:semiHidden/>
    <w:rsid w:val="001E126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04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U86uGowX-GCo_ql2s1_KvrYsqKWUBw-_wY5fbj7PC0lM013_83ZEnM2qMrx0sFG013flv5dpX_0pVSggwBQu7tysX2mpYpZalMY9UDtLVsuK2hLWDvdvXJGsfshuQxvU_fCCci4tHqsMUp3coTZ0hgb4ozk7XLFWoLB81xXjZvVwT2EK6z8JvdwgL3O94OcvfKf6ineOcKGvuPDAxkba3pfV3tqRoRvpOjuFc8-jDxlG1BcOghM2TFk888j2N0Hw&amp;c=4fTl_IGBKMdrBo-InjSRTfbD5UvxG-2CypWeo3OLTQIv5sKS59AHtA==&amp;ch=QZyTWJLj6YHNSrdXzlEeFZf_oHaRogkgGC38YJ9QacaglrMnmEzpPA==" TargetMode="External"/><Relationship Id="rId3" Type="http://schemas.openxmlformats.org/officeDocument/2006/relationships/settings" Target="settings.xml"/><Relationship Id="rId7" Type="http://schemas.openxmlformats.org/officeDocument/2006/relationships/hyperlink" Target="http://r20.rs6.net/tn.jsp?f=001U86uGowX-GCo_ql2s1_KvrYsqKWUBw-_wY5fbj7PC0lM013_83ZEnKt-W3n4NE1mjoeAZ91p8AlrtbnIg7wQbGCwEd9Ima8vqsM8xcAgPgYfGKWTU6UF4c9rSf8WcNxg_1wjfF7LiO9jP95BQIe9QU9RWyF5-dUPkyJLDeaLDZuzFI3zVPVTNBZ-OLGrIyLzFyRSPNppUW6EeYVmP8Rzl2Nv97FcA1pFDy0CUNwDumG_wPPsSbirVZX4qdZndaGg&amp;c=4fTl_IGBKMdrBo-InjSRTfbD5UvxG-2CypWeo3OLTQIv5sKS59AHtA==&amp;ch=QZyTWJLj6YHNSrdXzlEeFZf_oHaRogkgGC38YJ9QacaglrMnmEzpP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image" Target="http://files.constantcontact.com/85a2c058001/e4f5ad06-dccd-4059-8e82-250fb4ffade2.p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20.rs6.net/tn.jsp?f=001U86uGowX-GCo_ql2s1_KvrYsqKWUBw-_wY5fbj7PC0lM013_83ZEnBo0V1I76IE7XtDS3HUMboHyy-p46f8jpH-vvLBGhYxK_WCx8lSNsAevIzamo3tLZfJuHKQvKJV0tlWKCChnrdfVBz76VHPdBhI_dJGOwxYRFoKOaNA9e3w=&amp;c=4fTl_IGBKMdrBo-InjSRTfbD5UvxG-2CypWeo3OLTQIv5sKS59AHtA==&amp;ch=QZyTWJLj6YHNSrdXzlEeFZf_oHaRogkgGC38YJ9QacaglrMnmEzp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1312</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Curatolo</dc:creator>
  <cp:lastModifiedBy>Kathy Curatolo</cp:lastModifiedBy>
  <cp:revision>1</cp:revision>
  <dcterms:created xsi:type="dcterms:W3CDTF">2018-02-26T19:16:00Z</dcterms:created>
  <dcterms:modified xsi:type="dcterms:W3CDTF">2018-02-26T19:18:00Z</dcterms:modified>
</cp:coreProperties>
</file>