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E51C0" w:rsidTr="004E51C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E51C0">
              <w:trPr>
                <w:tblCellSpacing w:w="0" w:type="dxa"/>
                <w:jc w:val="center"/>
              </w:trPr>
              <w:tc>
                <w:tcPr>
                  <w:tcW w:w="5000" w:type="pct"/>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00"/>
                  </w:tblGrid>
                  <w:tr w:rsidR="004E51C0">
                    <w:trPr>
                      <w:tblCellSpacing w:w="0" w:type="dxa"/>
                    </w:trPr>
                    <w:tc>
                      <w:tcPr>
                        <w:tcW w:w="0" w:type="auto"/>
                        <w:vAlign w:val="center"/>
                        <w:hideMark/>
                      </w:tcPr>
                      <w:p w:rsidR="004E51C0" w:rsidRDefault="004E51C0">
                        <w:pPr>
                          <w:rPr>
                            <w:rFonts w:ascii="Arial" w:hAnsi="Arial" w:cs="Arial"/>
                            <w:color w:val="000000"/>
                            <w:sz w:val="20"/>
                            <w:szCs w:val="20"/>
                          </w:rPr>
                        </w:pPr>
                        <w:r>
                          <w:rPr>
                            <w:noProof/>
                          </w:rPr>
                          <w:drawing>
                            <wp:anchor distT="38100" distB="38100" distL="38100" distR="38100" simplePos="0" relativeHeight="251659264" behindDoc="0" locked="0" layoutInCell="1" allowOverlap="0">
                              <wp:simplePos x="0" y="0"/>
                              <wp:positionH relativeFrom="column">
                                <wp:align>left</wp:align>
                              </wp:positionH>
                              <wp:positionV relativeFrom="line">
                                <wp:posOffset>0</wp:posOffset>
                              </wp:positionV>
                              <wp:extent cx="4419600" cy="1099820"/>
                              <wp:effectExtent l="0" t="0" r="0" b="5080"/>
                              <wp:wrapSquare wrapText="bothSides"/>
                              <wp:docPr id="5" name="Picture 5" descr="http://files.constantcontact.com/85a2c058001/e4f5ad06-dccd-4059-8e82-250fb4ff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85a2c058001/e4f5ad06-dccd-4059-8e82-250fb4ffade2.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419600" cy="1099820"/>
                                      </a:xfrm>
                                      <a:prstGeom prst="rect">
                                        <a:avLst/>
                                      </a:prstGeom>
                                      <a:noFill/>
                                    </pic:spPr>
                                  </pic:pic>
                                </a:graphicData>
                              </a:graphic>
                              <wp14:sizeRelH relativeFrom="page">
                                <wp14:pctWidth>0</wp14:pctWidth>
                              </wp14:sizeRelH>
                              <wp14:sizeRelV relativeFrom="page">
                                <wp14:pctHeight>0</wp14:pctHeight>
                              </wp14:sizeRelV>
                            </wp:anchor>
                          </w:drawing>
                        </w:r>
                      </w:p>
                    </w:tc>
                  </w:tr>
                </w:tbl>
                <w:p w:rsidR="004E51C0" w:rsidRDefault="004E51C0">
                  <w:pPr>
                    <w:rPr>
                      <w:sz w:val="20"/>
                      <w:szCs w:val="20"/>
                    </w:rPr>
                  </w:pPr>
                </w:p>
              </w:tc>
            </w:tr>
            <w:tr w:rsidR="004E51C0">
              <w:trPr>
                <w:trHeight w:val="180"/>
                <w:tblCellSpacing w:w="0" w:type="dxa"/>
                <w:jc w:val="center"/>
              </w:trPr>
              <w:tc>
                <w:tcPr>
                  <w:tcW w:w="0" w:type="auto"/>
                  <w:vAlign w:val="center"/>
                  <w:hideMark/>
                </w:tcPr>
                <w:p w:rsidR="004E51C0" w:rsidRDefault="004E51C0">
                  <w:pPr>
                    <w:rPr>
                      <w:sz w:val="20"/>
                      <w:szCs w:val="20"/>
                    </w:rPr>
                  </w:pPr>
                </w:p>
              </w:tc>
            </w:tr>
            <w:tr w:rsidR="004E51C0">
              <w:trPr>
                <w:tblCellSpacing w:w="0" w:type="dxa"/>
                <w:jc w:val="center"/>
              </w:trPr>
              <w:tc>
                <w:tcPr>
                  <w:tcW w:w="5000" w:type="pct"/>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00"/>
                  </w:tblGrid>
                  <w:tr w:rsidR="004E51C0">
                    <w:trPr>
                      <w:tblCellSpacing w:w="0" w:type="dxa"/>
                    </w:trPr>
                    <w:tc>
                      <w:tcPr>
                        <w:tcW w:w="0" w:type="auto"/>
                        <w:vAlign w:val="center"/>
                      </w:tcPr>
                      <w:p w:rsidR="004E51C0" w:rsidRDefault="004E51C0">
                        <w:pPr>
                          <w:spacing w:before="90" w:after="90"/>
                          <w:jc w:val="center"/>
                          <w:rPr>
                            <w:rFonts w:ascii="Arial" w:hAnsi="Arial" w:cs="Arial"/>
                            <w:b/>
                            <w:bCs/>
                            <w:color w:val="000000"/>
                            <w:sz w:val="28"/>
                            <w:szCs w:val="28"/>
                          </w:rPr>
                        </w:pPr>
                        <w:r>
                          <w:rPr>
                            <w:rFonts w:ascii="Arial" w:hAnsi="Arial" w:cs="Arial"/>
                            <w:b/>
                            <w:bCs/>
                            <w:color w:val="000000"/>
                            <w:sz w:val="28"/>
                            <w:szCs w:val="28"/>
                          </w:rPr>
                          <w:t>November Housing Market Returns to Normal</w:t>
                        </w:r>
                      </w:p>
                      <w:p w:rsidR="004E51C0" w:rsidRDefault="004E51C0">
                        <w:pPr>
                          <w:spacing w:before="90" w:after="90"/>
                          <w:jc w:val="center"/>
                          <w:rPr>
                            <w:rFonts w:ascii="Arial" w:hAnsi="Arial" w:cs="Arial"/>
                            <w:b/>
                            <w:bCs/>
                            <w:color w:val="000000"/>
                            <w:sz w:val="28"/>
                            <w:szCs w:val="28"/>
                          </w:rPr>
                        </w:pPr>
                      </w:p>
                      <w:p w:rsidR="004E51C0" w:rsidRDefault="004E51C0">
                        <w:pPr>
                          <w:spacing w:before="90" w:after="90"/>
                          <w:rPr>
                            <w:rStyle w:val="Emphasis"/>
                            <w:sz w:val="20"/>
                            <w:szCs w:val="20"/>
                          </w:rPr>
                        </w:pPr>
                        <w:r>
                          <w:rPr>
                            <w:rStyle w:val="Emphasis"/>
                            <w:color w:val="000000"/>
                          </w:rPr>
                          <w:t xml:space="preserve">Contacts:  </w:t>
                        </w:r>
                      </w:p>
                      <w:p w:rsidR="004E51C0" w:rsidRDefault="004E51C0">
                        <w:pPr>
                          <w:spacing w:before="90" w:after="90"/>
                        </w:pPr>
                        <w:r>
                          <w:rPr>
                            <w:rFonts w:ascii="Arial" w:hAnsi="Arial" w:cs="Arial"/>
                            <w:i/>
                            <w:iCs/>
                            <w:color w:val="000000"/>
                            <w:sz w:val="20"/>
                            <w:szCs w:val="20"/>
                          </w:rPr>
                          <w:t xml:space="preserve">Brenda </w:t>
                        </w:r>
                        <w:proofErr w:type="spellStart"/>
                        <w:r>
                          <w:rPr>
                            <w:rFonts w:ascii="Arial" w:hAnsi="Arial" w:cs="Arial"/>
                            <w:i/>
                            <w:iCs/>
                            <w:color w:val="000000"/>
                            <w:sz w:val="20"/>
                            <w:szCs w:val="20"/>
                          </w:rPr>
                          <w:t>Fioretti</w:t>
                        </w:r>
                        <w:proofErr w:type="spellEnd"/>
                        <w:r>
                          <w:rPr>
                            <w:rFonts w:ascii="Arial" w:hAnsi="Arial" w:cs="Arial"/>
                            <w:i/>
                            <w:iCs/>
                            <w:color w:val="000000"/>
                            <w:sz w:val="20"/>
                            <w:szCs w:val="20"/>
                          </w:rPr>
                          <w:t>, NABOR® Media Relations Committee Chair, (239) 597-1666</w:t>
                        </w:r>
                      </w:p>
                      <w:p w:rsidR="004E51C0" w:rsidRDefault="004E51C0">
                        <w:pPr>
                          <w:spacing w:before="90" w:after="90"/>
                          <w:rPr>
                            <w:rFonts w:ascii="Arial" w:hAnsi="Arial" w:cs="Arial"/>
                            <w:i/>
                            <w:iCs/>
                            <w:color w:val="000000"/>
                            <w:sz w:val="20"/>
                            <w:szCs w:val="20"/>
                          </w:rPr>
                        </w:pPr>
                        <w:r>
                          <w:rPr>
                            <w:rFonts w:ascii="Arial" w:hAnsi="Arial" w:cs="Arial"/>
                            <w:i/>
                            <w:iCs/>
                            <w:color w:val="000000"/>
                            <w:sz w:val="20"/>
                            <w:szCs w:val="20"/>
                          </w:rPr>
                          <w:t>Marcia Albert, NABOR® Director of Marketing, (239) 597-1666</w:t>
                        </w:r>
                      </w:p>
                      <w:p w:rsidR="004E51C0" w:rsidRDefault="004E51C0">
                        <w:pPr>
                          <w:spacing w:before="90" w:after="90"/>
                          <w:rPr>
                            <w:rFonts w:ascii="Arial" w:hAnsi="Arial" w:cs="Arial"/>
                            <w:color w:val="000000"/>
                            <w:sz w:val="20"/>
                            <w:szCs w:val="20"/>
                          </w:rPr>
                        </w:pPr>
                      </w:p>
                      <w:p w:rsidR="004E51C0" w:rsidRDefault="004E51C0">
                        <w:pPr>
                          <w:spacing w:before="90" w:after="90"/>
                          <w:rPr>
                            <w:rFonts w:ascii="Arial" w:hAnsi="Arial" w:cs="Arial"/>
                            <w:color w:val="000000"/>
                            <w:sz w:val="20"/>
                            <w:szCs w:val="20"/>
                          </w:rPr>
                        </w:pPr>
                        <w:r>
                          <w:rPr>
                            <w:rStyle w:val="Strong"/>
                            <w:rFonts w:ascii="Arial" w:hAnsi="Arial" w:cs="Arial"/>
                            <w:color w:val="000000"/>
                            <w:sz w:val="20"/>
                            <w:szCs w:val="20"/>
                          </w:rPr>
                          <w:t>Naples, Fla. </w:t>
                        </w:r>
                        <w:r>
                          <w:rPr>
                            <w:rFonts w:ascii="Arial" w:hAnsi="Arial" w:cs="Arial"/>
                            <w:color w:val="000000"/>
                            <w:sz w:val="20"/>
                            <w:szCs w:val="20"/>
                          </w:rPr>
                          <w:t xml:space="preserve">(December 15, 2017) - Home sales in the Naples area increased 3 percent in November year over year, according to the November 2017 Market Report released by the Naples Area Board of REALTORS® (NABOR®), which tracks home listings and sales within Collier County (excluding Marco Island). The report also showed heightened activity in the single-family home market in November where sales of properties priced above $300,000 increased by double digits. Local brokers analyzing the Market Report said they were pleased with the high-end market's closed sales activity in November, which experienced a 21 percent increase in single-family home sales and a 22 percent increase in condominium sales in the $2 million and above price category. </w:t>
                        </w:r>
                      </w:p>
                      <w:p w:rsidR="004E51C0" w:rsidRDefault="004E51C0">
                        <w:pPr>
                          <w:spacing w:before="90" w:after="90"/>
                          <w:jc w:val="center"/>
                          <w:rPr>
                            <w:rFonts w:ascii="Arial" w:hAnsi="Arial" w:cs="Arial"/>
                            <w:color w:val="000000"/>
                            <w:sz w:val="20"/>
                            <w:szCs w:val="20"/>
                          </w:rPr>
                        </w:pPr>
                        <w:r>
                          <w:rPr>
                            <w:rFonts w:ascii="Arial" w:hAnsi="Arial" w:cs="Arial"/>
                            <w:noProof/>
                            <w:color w:val="000000"/>
                            <w:sz w:val="20"/>
                            <w:szCs w:val="20"/>
                          </w:rPr>
                          <w:drawing>
                            <wp:inline distT="0" distB="0" distL="0" distR="0">
                              <wp:extent cx="5524500" cy="3848100"/>
                              <wp:effectExtent l="0" t="0" r="0" b="0"/>
                              <wp:docPr id="4" name="Picture 4" descr="http://files.constantcontact.com/85a2c058001/8a04e528-9324-4755-91e6-6abc286d0f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85a2c058001/8a04e528-9324-4755-91e6-6abc286d0ff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848100"/>
                                      </a:xfrm>
                                      <a:prstGeom prst="rect">
                                        <a:avLst/>
                                      </a:prstGeom>
                                      <a:noFill/>
                                      <a:ln>
                                        <a:noFill/>
                                      </a:ln>
                                    </pic:spPr>
                                  </pic:pic>
                                </a:graphicData>
                              </a:graphic>
                            </wp:inline>
                          </w:drawing>
                        </w:r>
                      </w:p>
                      <w:p w:rsidR="004E51C0" w:rsidRDefault="004E51C0">
                        <w:pPr>
                          <w:spacing w:before="90" w:after="90"/>
                          <w:jc w:val="center"/>
                          <w:rPr>
                            <w:rFonts w:ascii="Arial" w:hAnsi="Arial" w:cs="Arial"/>
                            <w:color w:val="000000"/>
                            <w:sz w:val="20"/>
                            <w:szCs w:val="20"/>
                          </w:rPr>
                        </w:pPr>
                        <w:hyperlink r:id="rId7" w:tgtFrame="_blank" w:history="1">
                          <w:r>
                            <w:rPr>
                              <w:rStyle w:val="Hyperlink"/>
                              <w:rFonts w:ascii="Arial" w:hAnsi="Arial" w:cs="Arial"/>
                              <w:i/>
                              <w:iCs/>
                              <w:sz w:val="20"/>
                              <w:szCs w:val="20"/>
                            </w:rPr>
                            <w:t>Download this infographic</w:t>
                          </w:r>
                        </w:hyperlink>
                      </w:p>
                      <w:p w:rsidR="004E51C0" w:rsidRDefault="004E51C0">
                        <w:pPr>
                          <w:spacing w:before="90" w:after="90"/>
                          <w:rPr>
                            <w:rFonts w:ascii="Arial" w:hAnsi="Arial" w:cs="Arial"/>
                            <w:color w:val="000000"/>
                            <w:sz w:val="20"/>
                            <w:szCs w:val="20"/>
                          </w:rPr>
                        </w:pPr>
                      </w:p>
                      <w:p w:rsidR="004E51C0" w:rsidRDefault="004E51C0">
                        <w:pPr>
                          <w:spacing w:before="90" w:after="90"/>
                          <w:rPr>
                            <w:rFonts w:ascii="Arial" w:hAnsi="Arial" w:cs="Arial"/>
                            <w:color w:val="000000"/>
                            <w:sz w:val="20"/>
                            <w:szCs w:val="20"/>
                          </w:rPr>
                        </w:pPr>
                        <w:r>
                          <w:rPr>
                            <w:rFonts w:ascii="Arial" w:hAnsi="Arial" w:cs="Arial"/>
                            <w:color w:val="000000"/>
                            <w:sz w:val="20"/>
                            <w:szCs w:val="20"/>
                          </w:rPr>
                          <w:t xml:space="preserve">"November was a good month for both buyers and sellers," said Lauren U. </w:t>
                        </w:r>
                        <w:proofErr w:type="spellStart"/>
                        <w:r>
                          <w:rPr>
                            <w:rFonts w:ascii="Arial" w:hAnsi="Arial" w:cs="Arial"/>
                            <w:color w:val="000000"/>
                            <w:sz w:val="20"/>
                            <w:szCs w:val="20"/>
                          </w:rPr>
                          <w:t>Melo</w:t>
                        </w:r>
                        <w:proofErr w:type="spellEnd"/>
                        <w:r>
                          <w:rPr>
                            <w:rFonts w:ascii="Arial" w:hAnsi="Arial" w:cs="Arial"/>
                            <w:color w:val="000000"/>
                            <w:sz w:val="20"/>
                            <w:szCs w:val="20"/>
                          </w:rPr>
                          <w:t xml:space="preserve">, PA, </w:t>
                        </w:r>
                        <w:proofErr w:type="gramStart"/>
                        <w:r>
                          <w:rPr>
                            <w:rFonts w:ascii="Arial" w:hAnsi="Arial" w:cs="Arial"/>
                            <w:color w:val="000000"/>
                            <w:sz w:val="20"/>
                            <w:szCs w:val="20"/>
                          </w:rPr>
                          <w:t>a</w:t>
                        </w:r>
                        <w:proofErr w:type="gramEnd"/>
                        <w:r>
                          <w:rPr>
                            <w:rFonts w:ascii="Arial" w:hAnsi="Arial" w:cs="Arial"/>
                            <w:color w:val="000000"/>
                            <w:sz w:val="20"/>
                            <w:szCs w:val="20"/>
                          </w:rPr>
                          <w:t xml:space="preserve"> Licensed Real Estate Broker with Florida's Realty Specialists. "Sellers are pricing homes to sell and there were 521 homes sold in the month of November despite the effects of Hurricane Irma. This is only 51 fewer homes than sold in November 2016."</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These observations were also recognized by the Vice President and General Manager for Downing-Frye Realty, Inc., Mike Hughes, who said, "Buyers and sellers have good reason to be confident as there are many positives on both sides of the fence. Sellers should get their properties on the market now and buyers should move quickly as multiple offers could occur as a result of the tight inventory."</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The November Market Report showed the overall median closed price rose 9 percent to $330,000 compared to $303,000 in November 2016, and overall pending sales in November increased 2 percent to 728 compared to 713 last year. More impressively, pending sales for homes valued at $1 to $2 million increased by 30 percent in November to 61 from 47 last November.</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 xml:space="preserve">"There were 116 cash transactions for properties below $300,000 in November," said </w:t>
                        </w:r>
                        <w:proofErr w:type="spellStart"/>
                        <w:r>
                          <w:rPr>
                            <w:rFonts w:ascii="Arial" w:hAnsi="Arial" w:cs="Arial"/>
                            <w:color w:val="000000"/>
                            <w:sz w:val="20"/>
                            <w:szCs w:val="20"/>
                          </w:rPr>
                          <w:t>Melo</w:t>
                        </w:r>
                        <w:proofErr w:type="spellEnd"/>
                        <w:r>
                          <w:rPr>
                            <w:rFonts w:ascii="Arial" w:hAnsi="Arial" w:cs="Arial"/>
                            <w:color w:val="000000"/>
                            <w:sz w:val="20"/>
                            <w:szCs w:val="20"/>
                          </w:rPr>
                          <w:t>. "This was higher than expected and may indicate the return of investors to the market."</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The report also showed that a 12 percent decrease in single-family inventory during November led to a subsequent 9 percent increase in the market value of single-family homes. The Naples Beach area saw a 28 percent increase in its median closed price to $975,000 from $762,000 in November 2016.</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"The luxury market has gone wild," said Phil Wood, President &amp; CEO of John R. Wood Properties. "November had a 63 percent increase in pending sales for single-family homes over $1 million. This is a clear indication that high-end buyers continue to find Naples a desirable location for investment."</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240"/>
                          <w:rPr>
                            <w:rFonts w:ascii="Arial" w:hAnsi="Arial" w:cs="Arial"/>
                            <w:color w:val="000000"/>
                            <w:sz w:val="20"/>
                            <w:szCs w:val="20"/>
                          </w:rPr>
                        </w:pPr>
                        <w:r>
                          <w:rPr>
                            <w:rFonts w:ascii="Arial" w:hAnsi="Arial" w:cs="Arial"/>
                            <w:color w:val="000000"/>
                            <w:sz w:val="20"/>
                            <w:szCs w:val="20"/>
                          </w:rPr>
                          <w:t>The NABOR® November 2017 Market Report provides comparisons of single-family home and condominium sales (via the Southwest Florida MLS), price ranges, and geographic segmentation and includes an overall market summary. The NABOR® November 2017 sales statistics are presented in chart format, including these overall (single-family and condominium) findings: </w:t>
                        </w:r>
                      </w:p>
                      <w:tbl>
                        <w:tblPr>
                          <w:tblW w:w="8595" w:type="dxa"/>
                          <w:jc w:val="center"/>
                          <w:tblBorders>
                            <w:top w:val="single" w:sz="6" w:space="0" w:color="989898"/>
                            <w:left w:val="single" w:sz="6" w:space="0" w:color="989898"/>
                            <w:bottom w:val="single" w:sz="6" w:space="0" w:color="989898"/>
                            <w:right w:val="single" w:sz="6" w:space="0" w:color="989898"/>
                          </w:tblBorders>
                          <w:tblCellMar>
                            <w:top w:w="36" w:type="dxa"/>
                            <w:left w:w="36" w:type="dxa"/>
                            <w:bottom w:w="36" w:type="dxa"/>
                            <w:right w:w="36" w:type="dxa"/>
                          </w:tblCellMar>
                          <w:tblLook w:val="04A0" w:firstRow="1" w:lastRow="0" w:firstColumn="1" w:lastColumn="0" w:noHBand="0" w:noVBand="1"/>
                        </w:tblPr>
                        <w:tblGrid>
                          <w:gridCol w:w="5570"/>
                          <w:gridCol w:w="986"/>
                          <w:gridCol w:w="1048"/>
                          <w:gridCol w:w="991"/>
                        </w:tblGrid>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rStyle w:val="Strong"/>
                                  <w:sz w:val="20"/>
                                  <w:szCs w:val="20"/>
                                </w:rPr>
                                <w:t>CATEGORIES</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rStyle w:val="Strong"/>
                                  <w:sz w:val="20"/>
                                  <w:szCs w:val="20"/>
                                </w:rPr>
                                <w:t>Nov 2016</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rStyle w:val="Strong"/>
                                  <w:sz w:val="20"/>
                                  <w:szCs w:val="20"/>
                                </w:rPr>
                                <w:t>Nov 2017</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rStyle w:val="Strong"/>
                                  <w:sz w:val="20"/>
                                  <w:szCs w:val="20"/>
                                </w:rPr>
                                <w:t>CHANGE</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Total homes under contract (pending sales) (month/month)</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713</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728</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Total closed sales (month/month)</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572</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521</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-9%</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Median closed price (month/month)</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$303,000</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$330,000</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9%</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rPr>
                                  <w:sz w:val="20"/>
                                  <w:szCs w:val="20"/>
                                </w:rPr>
                              </w:pPr>
                              <w:r>
                                <w:rPr>
                                  <w:sz w:val="20"/>
                                  <w:szCs w:val="20"/>
                                </w:rPr>
                                <w:t>Median closed price &gt;$300K ((month/month)</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$519,000</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$482,000</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-7%</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Total active listings (inventory)</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5,733</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5,322</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-7%</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Average days on market </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88</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101</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15%</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Single-family closed sales (month/month)</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268</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271</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1%</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Single-family median closed price (month/month)</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$397,000</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$433,000</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9%</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Single-family inventory</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2,971</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2,606</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-12%</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Condominium closed sales (month/month)</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304</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250</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-18%</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lastRenderedPageBreak/>
                                <w:t>Condominium median closed price (month/month)</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$251,000</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$250,000</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0%</w:t>
                              </w:r>
                            </w:p>
                          </w:tc>
                        </w:tr>
                        <w:tr w:rsidR="004E51C0">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4E51C0" w:rsidRDefault="004E51C0">
                              <w:pPr>
                                <w:spacing w:line="210" w:lineRule="atLeast"/>
                              </w:pPr>
                              <w:r>
                                <w:rPr>
                                  <w:sz w:val="20"/>
                                  <w:szCs w:val="20"/>
                                </w:rPr>
                                <w:t>Condominium inventory</w:t>
                              </w:r>
                            </w:p>
                          </w:tc>
                          <w:tc>
                            <w:tcPr>
                              <w:tcW w:w="94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2,762</w:t>
                              </w:r>
                            </w:p>
                          </w:tc>
                          <w:tc>
                            <w:tcPr>
                              <w:tcW w:w="100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2,716</w:t>
                              </w:r>
                            </w:p>
                          </w:tc>
                          <w:tc>
                            <w:tcPr>
                              <w:tcW w:w="825" w:type="dxa"/>
                              <w:tcBorders>
                                <w:top w:val="single" w:sz="6" w:space="0" w:color="989898"/>
                                <w:left w:val="single" w:sz="6" w:space="0" w:color="989898"/>
                                <w:bottom w:val="single" w:sz="6" w:space="0" w:color="989898"/>
                                <w:right w:val="single" w:sz="6" w:space="0" w:color="989898"/>
                              </w:tcBorders>
                              <w:hideMark/>
                            </w:tcPr>
                            <w:p w:rsidR="004E51C0" w:rsidRDefault="004E51C0">
                              <w:pPr>
                                <w:jc w:val="center"/>
                                <w:rPr>
                                  <w:sz w:val="20"/>
                                  <w:szCs w:val="20"/>
                                </w:rPr>
                              </w:pPr>
                              <w:r>
                                <w:rPr>
                                  <w:sz w:val="20"/>
                                  <w:szCs w:val="20"/>
                                </w:rPr>
                                <w:t>-2%</w:t>
                              </w:r>
                            </w:p>
                          </w:tc>
                        </w:tr>
                      </w:tbl>
                      <w:p w:rsidR="004E51C0" w:rsidRDefault="004E51C0">
                        <w:pPr>
                          <w:spacing w:before="90" w:after="90"/>
                          <w:rPr>
                            <w:rFonts w:ascii="Arial" w:hAnsi="Arial" w:cs="Arial"/>
                            <w:color w:val="000000"/>
                          </w:rPr>
                        </w:pPr>
                        <w:r>
                          <w:rPr>
                            <w:rFonts w:ascii="Arial" w:hAnsi="Arial" w:cs="Arial"/>
                            <w:color w:val="00000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As pointed out by Cindy Carroll, SRA, with the real estate appraisal and consultancy firm Carroll &amp; Carroll, Inc., the November report showed a high concentration of condominiums available in the $300,000 and below price category (1,228). "Even though they appear to be a more affordable option, condominiums often have obstacles during the buying process like 55 and older age restrictions or high annual fees."</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 xml:space="preserve">Despite these challenges and a 2 percent decrease in inventory in November, condominiums in both the $300,000 and below and the $2 million and above price categories saw inventory rise by 4 percent.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Geographically, sales activity for single-family homes in the North Naples market is heating up as evidenced in the 21 percent increase in pending sales during November. Also hot are condominiums in the Naples Beach area, which saw an 11 percent increase in pending sales during November.</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 xml:space="preserve">According to Dominic </w:t>
                        </w:r>
                        <w:proofErr w:type="spellStart"/>
                        <w:r>
                          <w:rPr>
                            <w:rFonts w:ascii="Arial" w:hAnsi="Arial" w:cs="Arial"/>
                            <w:color w:val="000000"/>
                            <w:sz w:val="20"/>
                            <w:szCs w:val="20"/>
                          </w:rPr>
                          <w:t>Pallini</w:t>
                        </w:r>
                        <w:proofErr w:type="spellEnd"/>
                        <w:r>
                          <w:rPr>
                            <w:rFonts w:ascii="Arial" w:hAnsi="Arial" w:cs="Arial"/>
                            <w:color w:val="000000"/>
                            <w:sz w:val="20"/>
                            <w:szCs w:val="20"/>
                          </w:rPr>
                          <w:t>, Broker at Vanderbilt Realty, "The tax reform proposals coming out of Washington, D.C., appear to present negative tax consequences for many people living in states with high state income tax burdens. This may make relocation to Florida even more attractive in 2018, especially to the wealthy since Florida does not impose an individual income tax."</w:t>
                        </w:r>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 xml:space="preserve">Before you sell your home, seek guidance from a Naples REALTOR® who knows the local market and can help you price your property correctly. A REALTOR® can also locate properties that match buyer needs and negotiate a purchase price that reflects the current market. Discover more at </w:t>
                        </w:r>
                        <w:hyperlink r:id="rId8" w:history="1">
                          <w:r>
                            <w:rPr>
                              <w:rStyle w:val="Hyperlink"/>
                              <w:rFonts w:ascii="Arial" w:hAnsi="Arial" w:cs="Arial"/>
                              <w:sz w:val="20"/>
                              <w:szCs w:val="20"/>
                            </w:rPr>
                            <w:t>www.naplesarea.com</w:t>
                          </w:r>
                        </w:hyperlink>
                        <w:r>
                          <w:rPr>
                            <w:rFonts w:ascii="Arial" w:hAnsi="Arial" w:cs="Arial"/>
                            <w:color w:val="000000"/>
                            <w:sz w:val="20"/>
                            <w:szCs w:val="20"/>
                          </w:rPr>
                          <w:t>.</w:t>
                        </w:r>
                      </w:p>
                      <w:p w:rsidR="004E51C0" w:rsidRDefault="004E51C0">
                        <w:pPr>
                          <w:spacing w:before="90" w:after="90"/>
                          <w:rPr>
                            <w:rFonts w:ascii="Arial" w:hAnsi="Arial" w:cs="Arial"/>
                            <w:color w:val="000000"/>
                            <w:sz w:val="20"/>
                            <w:szCs w:val="20"/>
                          </w:rPr>
                        </w:pPr>
                      </w:p>
                      <w:p w:rsidR="004E51C0" w:rsidRDefault="004E51C0">
                        <w:pPr>
                          <w:spacing w:before="90" w:after="90"/>
                          <w:rPr>
                            <w:rFonts w:ascii="Arial" w:hAnsi="Arial" w:cs="Arial"/>
                            <w:color w:val="000000"/>
                            <w:sz w:val="16"/>
                            <w:szCs w:val="16"/>
                          </w:rPr>
                        </w:pPr>
                        <w:r>
                          <w:rPr>
                            <w:rStyle w:val="Emphasis"/>
                            <w:rFonts w:ascii="Arial" w:hAnsi="Arial" w:cs="Arial"/>
                            <w:color w:val="000000"/>
                            <w:sz w:val="16"/>
                            <w:szCs w:val="16"/>
                          </w:rPr>
                          <w:t xml:space="preserve">The Naples Area Board of REALTORS® (NABOR®) is an established organization (Chartered in 1949) whose members have a positive and progressive impact on the Naples Community. NABOR® is a local board of REALTORS® and real estate professionals with a legacy of nearly 60 years serving 6,000 plus members. NABOR® is a member of the Florida Realtors and the National Association of REALTORS®, which is the largest association in the United States with more than 1.3 million members and over 1,400 local </w:t>
                        </w:r>
                        <w:proofErr w:type="gramStart"/>
                        <w:r>
                          <w:rPr>
                            <w:rStyle w:val="Emphasis"/>
                            <w:rFonts w:ascii="Arial" w:hAnsi="Arial" w:cs="Arial"/>
                            <w:color w:val="000000"/>
                            <w:sz w:val="16"/>
                            <w:szCs w:val="16"/>
                          </w:rPr>
                          <w:t>board</w:t>
                        </w:r>
                        <w:proofErr w:type="gramEnd"/>
                        <w:r>
                          <w:rPr>
                            <w:rStyle w:val="Emphasis"/>
                            <w:rFonts w:ascii="Arial" w:hAnsi="Arial" w:cs="Arial"/>
                            <w:color w:val="000000"/>
                            <w:sz w:val="16"/>
                            <w:szCs w:val="16"/>
                          </w:rPr>
                          <w:t xml:space="preserve"> of REALTORS® nationwide. NABOR® is structured to provide programs and services to its membership through various committees and the NABOR® Board of Directors, all of whose members are non-paid volunteers.</w:t>
                        </w:r>
                      </w:p>
                      <w:p w:rsidR="004E51C0" w:rsidRDefault="004E51C0">
                        <w:pPr>
                          <w:spacing w:before="90" w:after="90"/>
                          <w:rPr>
                            <w:rFonts w:ascii="Arial" w:hAnsi="Arial" w:cs="Arial"/>
                            <w:color w:val="000000"/>
                            <w:sz w:val="16"/>
                            <w:szCs w:val="16"/>
                          </w:rPr>
                        </w:pPr>
                        <w:r>
                          <w:rPr>
                            <w:rStyle w:val="Emphasis"/>
                            <w:rFonts w:ascii="Arial" w:hAnsi="Arial" w:cs="Arial"/>
                            <w:color w:val="000000"/>
                            <w:sz w:val="16"/>
                            <w:szCs w:val="16"/>
                          </w:rPr>
                          <w:t>  </w:t>
                        </w:r>
                      </w:p>
                      <w:p w:rsidR="004E51C0" w:rsidRDefault="004E51C0">
                        <w:pPr>
                          <w:spacing w:before="90" w:after="90"/>
                          <w:rPr>
                            <w:rFonts w:ascii="Arial" w:hAnsi="Arial" w:cs="Arial"/>
                            <w:color w:val="000000"/>
                            <w:sz w:val="16"/>
                            <w:szCs w:val="16"/>
                          </w:rPr>
                        </w:pPr>
                        <w:r>
                          <w:rPr>
                            <w:rStyle w:val="Emphasis"/>
                            <w:rFonts w:ascii="Arial" w:hAnsi="Arial" w:cs="Arial"/>
                            <w:color w:val="000000"/>
                            <w:sz w:val="16"/>
                            <w:szCs w:val="16"/>
                          </w:rPr>
                          <w:t>The term REALTOR® is a registered collective membership mark which identifies a real estate professional who is a member of the National Association of REALTORS® and who subscribe to its strict Code of Ethics.</w:t>
                        </w:r>
                      </w:p>
                      <w:p w:rsidR="004E51C0" w:rsidRDefault="004E51C0">
                        <w:pPr>
                          <w:spacing w:before="90" w:after="90"/>
                          <w:rPr>
                            <w:rFonts w:ascii="Arial" w:hAnsi="Arial" w:cs="Arial"/>
                            <w:color w:val="000000"/>
                            <w:sz w:val="20"/>
                            <w:szCs w:val="20"/>
                          </w:rPr>
                        </w:pPr>
                      </w:p>
                      <w:p w:rsidR="004E51C0" w:rsidRDefault="004E51C0">
                        <w:pPr>
                          <w:spacing w:before="90" w:after="90"/>
                          <w:rPr>
                            <w:rFonts w:ascii="Arial" w:hAnsi="Arial" w:cs="Arial"/>
                            <w:color w:val="000000"/>
                            <w:sz w:val="20"/>
                            <w:szCs w:val="20"/>
                          </w:rPr>
                        </w:pPr>
                        <w:hyperlink r:id="rId9" w:tgtFrame="_blank" w:tooltip="undefined" w:history="1">
                          <w:r>
                            <w:rPr>
                              <w:rStyle w:val="Hyperlink"/>
                              <w:rFonts w:ascii="Arial" w:hAnsi="Arial" w:cs="Arial"/>
                              <w:sz w:val="20"/>
                              <w:szCs w:val="20"/>
                            </w:rPr>
                            <w:t>View November 2017 Market Statistics</w:t>
                          </w:r>
                        </w:hyperlink>
                      </w:p>
                      <w:p w:rsidR="004E51C0" w:rsidRDefault="004E51C0">
                        <w:pPr>
                          <w:spacing w:before="90" w:after="90"/>
                          <w:rPr>
                            <w:rFonts w:ascii="Arial" w:hAnsi="Arial" w:cs="Arial"/>
                            <w:color w:val="000000"/>
                            <w:sz w:val="20"/>
                            <w:szCs w:val="20"/>
                          </w:rPr>
                        </w:pPr>
                        <w:r>
                          <w:rPr>
                            <w:rFonts w:ascii="Arial" w:hAnsi="Arial" w:cs="Arial"/>
                            <w:color w:val="000000"/>
                            <w:sz w:val="20"/>
                            <w:szCs w:val="20"/>
                          </w:rPr>
                          <w:t>  </w:t>
                        </w:r>
                      </w:p>
                      <w:p w:rsidR="004E51C0" w:rsidRDefault="004E51C0">
                        <w:pPr>
                          <w:spacing w:before="90" w:after="90"/>
                          <w:rPr>
                            <w:rFonts w:ascii="Arial" w:hAnsi="Arial" w:cs="Arial"/>
                            <w:color w:val="000000"/>
                            <w:sz w:val="20"/>
                            <w:szCs w:val="20"/>
                          </w:rPr>
                        </w:pPr>
                        <w:r>
                          <w:rPr>
                            <w:rFonts w:ascii="Arial" w:hAnsi="Arial" w:cs="Arial"/>
                            <w:color w:val="000000"/>
                            <w:sz w:val="20"/>
                            <w:szCs w:val="20"/>
                          </w:rPr>
                          <w:t xml:space="preserve">To view the entire report, visit </w:t>
                        </w:r>
                        <w:hyperlink r:id="rId10" w:tgtFrame="_blank" w:history="1">
                          <w:r>
                            <w:rPr>
                              <w:rStyle w:val="Hyperlink"/>
                              <w:rFonts w:ascii="Arial" w:hAnsi="Arial" w:cs="Arial"/>
                              <w:sz w:val="20"/>
                              <w:szCs w:val="20"/>
                            </w:rPr>
                            <w:t>www.NaplesArea.com</w:t>
                          </w:r>
                        </w:hyperlink>
                      </w:p>
                    </w:tc>
                  </w:tr>
                </w:tbl>
                <w:p w:rsidR="004E51C0" w:rsidRDefault="004E51C0">
                  <w:pPr>
                    <w:rPr>
                      <w:sz w:val="20"/>
                      <w:szCs w:val="20"/>
                    </w:rPr>
                  </w:pPr>
                </w:p>
              </w:tc>
            </w:tr>
            <w:tr w:rsidR="004E51C0">
              <w:trPr>
                <w:tblCellSpacing w:w="0" w:type="dxa"/>
                <w:jc w:val="center"/>
              </w:trPr>
              <w:tc>
                <w:tcPr>
                  <w:tcW w:w="5000" w:type="pct"/>
                  <w:vAlign w:val="center"/>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00"/>
                  </w:tblGrid>
                  <w:tr w:rsidR="004E51C0">
                    <w:trPr>
                      <w:tblCellSpacing w:w="0" w:type="dxa"/>
                    </w:trPr>
                    <w:tc>
                      <w:tcPr>
                        <w:tcW w:w="0" w:type="auto"/>
                        <w:vAlign w:val="center"/>
                        <w:hideMark/>
                      </w:tcPr>
                      <w:p w:rsidR="004E51C0" w:rsidRDefault="004E51C0">
                        <w:pPr>
                          <w:pStyle w:val="NormalWeb"/>
                          <w:spacing w:before="0" w:beforeAutospacing="0" w:after="0" w:afterAutospacing="0"/>
                          <w:rPr>
                            <w:rFonts w:ascii="Arial" w:hAnsi="Arial" w:cs="Arial"/>
                            <w:color w:val="004DB4"/>
                            <w:sz w:val="20"/>
                            <w:szCs w:val="20"/>
                          </w:rPr>
                        </w:pPr>
                        <w:r>
                          <w:rPr>
                            <w:rStyle w:val="Strong"/>
                            <w:rFonts w:ascii="Arial" w:hAnsi="Arial" w:cs="Arial"/>
                            <w:color w:val="004DB4"/>
                            <w:sz w:val="20"/>
                            <w:szCs w:val="20"/>
                          </w:rPr>
                          <w:lastRenderedPageBreak/>
                          <w:t>EXPLORE OUR WEBSITES</w:t>
                        </w:r>
                      </w:p>
                      <w:p w:rsidR="004E51C0" w:rsidRDefault="004E51C0">
                        <w:pPr>
                          <w:pStyle w:val="NormalWeb"/>
                          <w:spacing w:before="0" w:beforeAutospacing="0" w:after="0" w:afterAutospacing="0"/>
                          <w:ind w:left="450"/>
                          <w:rPr>
                            <w:rFonts w:ascii="Arial" w:hAnsi="Arial" w:cs="Arial"/>
                            <w:color w:val="000000"/>
                            <w:sz w:val="20"/>
                            <w:szCs w:val="20"/>
                          </w:rPr>
                        </w:pPr>
                        <w:hyperlink r:id="rId11" w:tgtFrame="_blank" w:history="1">
                          <w:r>
                            <w:rPr>
                              <w:rStyle w:val="Hyperlink"/>
                              <w:rFonts w:ascii="Arial" w:hAnsi="Arial" w:cs="Arial"/>
                              <w:b/>
                              <w:bCs/>
                              <w:color w:val="000000"/>
                              <w:sz w:val="20"/>
                              <w:szCs w:val="20"/>
                            </w:rPr>
                            <w:t>www.NABOR.com</w:t>
                          </w:r>
                        </w:hyperlink>
                        <w:r>
                          <w:rPr>
                            <w:rStyle w:val="Strong"/>
                            <w:rFonts w:ascii="Arial" w:hAnsi="Arial" w:cs="Arial"/>
                            <w:color w:val="000000"/>
                            <w:sz w:val="20"/>
                            <w:szCs w:val="20"/>
                          </w:rPr>
                          <w:t> </w:t>
                        </w:r>
                      </w:p>
                      <w:p w:rsidR="004E51C0" w:rsidRDefault="004E51C0">
                        <w:pPr>
                          <w:pStyle w:val="NormalWeb"/>
                          <w:spacing w:before="0" w:beforeAutospacing="0" w:after="0" w:afterAutospacing="0"/>
                          <w:ind w:left="450"/>
                          <w:rPr>
                            <w:rFonts w:ascii="Arial" w:hAnsi="Arial" w:cs="Arial"/>
                            <w:color w:val="000000"/>
                            <w:sz w:val="20"/>
                            <w:szCs w:val="20"/>
                          </w:rPr>
                        </w:pPr>
                        <w:hyperlink r:id="rId12" w:tgtFrame="_blank" w:history="1">
                          <w:r>
                            <w:rPr>
                              <w:rStyle w:val="Hyperlink"/>
                              <w:rFonts w:ascii="Arial" w:hAnsi="Arial" w:cs="Arial"/>
                              <w:b/>
                              <w:bCs/>
                              <w:color w:val="000000"/>
                              <w:sz w:val="20"/>
                              <w:szCs w:val="20"/>
                            </w:rPr>
                            <w:t>www.NaplesArea.com</w:t>
                          </w:r>
                        </w:hyperlink>
                        <w:r>
                          <w:rPr>
                            <w:rStyle w:val="Strong"/>
                            <w:rFonts w:ascii="Arial" w:hAnsi="Arial" w:cs="Arial"/>
                            <w:color w:val="000000"/>
                            <w:sz w:val="20"/>
                            <w:szCs w:val="20"/>
                          </w:rPr>
                          <w:t> </w:t>
                        </w:r>
                      </w:p>
                    </w:tc>
                  </w:tr>
                </w:tbl>
                <w:p w:rsidR="004E51C0" w:rsidRDefault="004E51C0">
                  <w:pPr>
                    <w:rPr>
                      <w:vanish/>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00"/>
                  </w:tblGrid>
                  <w:tr w:rsidR="004E51C0">
                    <w:trPr>
                      <w:tblCellSpacing w:w="0" w:type="dxa"/>
                    </w:trPr>
                    <w:tc>
                      <w:tcPr>
                        <w:tcW w:w="0" w:type="auto"/>
                        <w:vAlign w:val="center"/>
                        <w:hideMark/>
                      </w:tcPr>
                      <w:p w:rsidR="004E51C0" w:rsidRDefault="004E51C0">
                        <w:pPr>
                          <w:spacing w:before="90" w:after="90"/>
                          <w:rPr>
                            <w:rFonts w:ascii="Arial" w:hAnsi="Arial" w:cs="Arial"/>
                            <w:color w:val="000000"/>
                            <w:sz w:val="20"/>
                            <w:szCs w:val="20"/>
                          </w:rPr>
                        </w:pPr>
                        <w:r>
                          <w:rPr>
                            <w:rFonts w:ascii="Arial" w:hAnsi="Arial" w:cs="Arial"/>
                            <w:color w:val="000000"/>
                            <w:sz w:val="20"/>
                            <w:szCs w:val="20"/>
                          </w:rPr>
                          <w:t>This email was sent to you by Naples Area Board of REALTORS</w:t>
                        </w:r>
                        <w:r>
                          <w:rPr>
                            <w:rFonts w:ascii="Arial" w:hAnsi="Arial" w:cs="Arial"/>
                            <w:color w:val="000000"/>
                            <w:sz w:val="20"/>
                            <w:szCs w:val="20"/>
                            <w:vertAlign w:val="superscript"/>
                          </w:rPr>
                          <w:t>®</w:t>
                        </w:r>
                        <w:r>
                          <w:rPr>
                            <w:rFonts w:ascii="Arial" w:hAnsi="Arial" w:cs="Arial"/>
                            <w:color w:val="000000"/>
                            <w:sz w:val="20"/>
                            <w:szCs w:val="20"/>
                          </w:rPr>
                          <w:t>.      </w:t>
                        </w:r>
                      </w:p>
                    </w:tc>
                  </w:tr>
                </w:tbl>
                <w:p w:rsidR="004E51C0" w:rsidRDefault="004E51C0">
                  <w:pPr>
                    <w:rPr>
                      <w:sz w:val="20"/>
                      <w:szCs w:val="20"/>
                    </w:rPr>
                  </w:pPr>
                </w:p>
              </w:tc>
            </w:tr>
            <w:tr w:rsidR="004E51C0">
              <w:trPr>
                <w:tblCellSpacing w:w="0" w:type="dxa"/>
                <w:jc w:val="center"/>
              </w:trPr>
              <w:tc>
                <w:tcPr>
                  <w:tcW w:w="5000" w:type="pct"/>
                  <w:vAlign w:val="center"/>
                  <w:hideMark/>
                </w:tcPr>
                <w:p w:rsidR="004E51C0" w:rsidRDefault="004E51C0">
                  <w:pPr>
                    <w:rPr>
                      <w:sz w:val="20"/>
                      <w:szCs w:val="20"/>
                    </w:rPr>
                  </w:pPr>
                </w:p>
              </w:tc>
            </w:tr>
            <w:tr w:rsidR="004E51C0">
              <w:trPr>
                <w:trHeight w:val="120"/>
                <w:tblCellSpacing w:w="0" w:type="dxa"/>
                <w:jc w:val="center"/>
              </w:trPr>
              <w:tc>
                <w:tcPr>
                  <w:tcW w:w="5000" w:type="pct"/>
                  <w:hideMark/>
                </w:tcPr>
                <w:p w:rsidR="004E51C0" w:rsidRDefault="004E51C0">
                  <w:pPr>
                    <w:rPr>
                      <w:sz w:val="20"/>
                      <w:szCs w:val="20"/>
                    </w:rPr>
                  </w:pPr>
                </w:p>
              </w:tc>
            </w:tr>
          </w:tbl>
          <w:p w:rsidR="004E51C0" w:rsidRDefault="004E51C0">
            <w:pPr>
              <w:jc w:val="center"/>
              <w:rPr>
                <w:sz w:val="20"/>
                <w:szCs w:val="20"/>
              </w:rPr>
            </w:pPr>
          </w:p>
        </w:tc>
      </w:tr>
    </w:tbl>
    <w:p w:rsidR="004E51C0" w:rsidRDefault="004E51C0" w:rsidP="004E51C0">
      <w:pPr>
        <w:shd w:val="clear" w:color="auto" w:fill="FFFFFF"/>
        <w:jc w:val="cente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E51C0" w:rsidTr="004E51C0">
        <w:trPr>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20"/>
              <w:gridCol w:w="7320"/>
              <w:gridCol w:w="1020"/>
            </w:tblGrid>
            <w:tr w:rsidR="004E51C0">
              <w:trPr>
                <w:tblCellSpacing w:w="0" w:type="dxa"/>
                <w:jc w:val="center"/>
              </w:trPr>
              <w:tc>
                <w:tcPr>
                  <w:tcW w:w="0" w:type="auto"/>
                  <w:shd w:val="clear" w:color="auto" w:fill="FFFFFF"/>
                  <w:vAlign w:val="center"/>
                  <w:hideMark/>
                </w:tcPr>
                <w:p w:rsidR="004E51C0" w:rsidRDefault="004E51C0">
                  <w:r>
                    <w:rPr>
                      <w:noProof/>
                    </w:rPr>
                    <w:lastRenderedPageBreak/>
                    <w:drawing>
                      <wp:inline distT="0" distB="0" distL="0" distR="0">
                        <wp:extent cx="7620" cy="45720"/>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sys/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c>
                <w:tcPr>
                  <w:tcW w:w="732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7320"/>
                  </w:tblGrid>
                  <w:tr w:rsidR="004E51C0">
                    <w:trPr>
                      <w:tblCellSpacing w:w="0" w:type="dxa"/>
                      <w:jc w:val="center"/>
                    </w:trPr>
                    <w:tc>
                      <w:tcPr>
                        <w:tcW w:w="5000" w:type="pct"/>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E51C0">
                          <w:trPr>
                            <w:tblCellSpacing w:w="0" w:type="dxa"/>
                            <w:jc w:val="center"/>
                          </w:trPr>
                          <w:tc>
                            <w:tcPr>
                              <w:tcW w:w="5000" w:type="pct"/>
                              <w:tcMar>
                                <w:top w:w="0" w:type="dxa"/>
                                <w:left w:w="0" w:type="dxa"/>
                                <w:bottom w:w="225" w:type="dxa"/>
                                <w:right w:w="0" w:type="dxa"/>
                              </w:tcMar>
                              <w:hideMark/>
                            </w:tcPr>
                            <w:p w:rsidR="004E51C0" w:rsidRDefault="004E51C0">
                              <w:pPr>
                                <w:jc w:val="center"/>
                                <w:rPr>
                                  <w:rFonts w:ascii="Verdana" w:hAnsi="Verdana"/>
                                  <w:color w:val="5D5D5D"/>
                                  <w:sz w:val="20"/>
                                  <w:szCs w:val="20"/>
                                </w:rPr>
                              </w:pPr>
                              <w:r>
                                <w:rPr>
                                  <w:rStyle w:val="footercolumn"/>
                                  <w:rFonts w:ascii="Verdana" w:hAnsi="Verdana"/>
                                  <w:color w:val="5D5D5D"/>
                                  <w:sz w:val="20"/>
                                  <w:szCs w:val="20"/>
                                </w:rPr>
                                <w:t>NABOR</w:t>
                              </w:r>
                              <w:r>
                                <w:rPr>
                                  <w:rStyle w:val="hideinmobile"/>
                                  <w:rFonts w:ascii="Verdana" w:hAnsi="Verdana"/>
                                  <w:color w:val="5D5D5D"/>
                                  <w:sz w:val="20"/>
                                  <w:szCs w:val="20"/>
                                </w:rPr>
                                <w:t>,</w:t>
                              </w:r>
                              <w:r>
                                <w:rPr>
                                  <w:rStyle w:val="footercolumn"/>
                                  <w:rFonts w:ascii="Verdana" w:hAnsi="Verdana"/>
                                  <w:color w:val="5D5D5D"/>
                                  <w:sz w:val="20"/>
                                  <w:szCs w:val="20"/>
                                </w:rPr>
                                <w:t xml:space="preserve"> 1455 Pine Ridge Road</w:t>
                              </w:r>
                              <w:r>
                                <w:rPr>
                                  <w:rStyle w:val="hideinmobile"/>
                                  <w:rFonts w:ascii="Verdana" w:hAnsi="Verdana"/>
                                  <w:color w:val="5D5D5D"/>
                                  <w:sz w:val="20"/>
                                  <w:szCs w:val="20"/>
                                </w:rPr>
                                <w:t>,</w:t>
                              </w:r>
                              <w:r>
                                <w:rPr>
                                  <w:rStyle w:val="footercolumn"/>
                                  <w:rFonts w:ascii="Verdana" w:hAnsi="Verdana"/>
                                  <w:color w:val="5D5D5D"/>
                                  <w:sz w:val="20"/>
                                  <w:szCs w:val="20"/>
                                </w:rPr>
                                <w:t> Naples</w:t>
                              </w:r>
                              <w:r>
                                <w:rPr>
                                  <w:rStyle w:val="hideinmobile"/>
                                  <w:rFonts w:ascii="Verdana" w:hAnsi="Verdana"/>
                                  <w:color w:val="5D5D5D"/>
                                  <w:sz w:val="20"/>
                                  <w:szCs w:val="20"/>
                                </w:rPr>
                                <w:t>,</w:t>
                              </w:r>
                              <w:r>
                                <w:rPr>
                                  <w:rStyle w:val="footercolumn"/>
                                  <w:rFonts w:ascii="Verdana" w:hAnsi="Verdana"/>
                                  <w:color w:val="5D5D5D"/>
                                  <w:sz w:val="20"/>
                                  <w:szCs w:val="20"/>
                                </w:rPr>
                                <w:t> FL 34109</w:t>
                              </w:r>
                            </w:p>
                          </w:tc>
                        </w:tr>
                        <w:tr w:rsidR="004E51C0">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E51C0">
                                <w:trPr>
                                  <w:tblCellSpacing w:w="0" w:type="dxa"/>
                                  <w:jc w:val="center"/>
                                </w:trPr>
                                <w:tc>
                                  <w:tcPr>
                                    <w:tcW w:w="5000" w:type="pct"/>
                                    <w:tcMar>
                                      <w:top w:w="0" w:type="dxa"/>
                                      <w:left w:w="0" w:type="dxa"/>
                                      <w:bottom w:w="75" w:type="dxa"/>
                                      <w:right w:w="0" w:type="dxa"/>
                                    </w:tcMar>
                                    <w:hideMark/>
                                  </w:tcPr>
                                  <w:p w:rsidR="004E51C0" w:rsidRDefault="004E51C0">
                                    <w:pPr>
                                      <w:jc w:val="center"/>
                                      <w:rPr>
                                        <w:rFonts w:ascii="Verdana" w:hAnsi="Verdana"/>
                                        <w:color w:val="5D5D5D"/>
                                        <w:sz w:val="18"/>
                                        <w:szCs w:val="18"/>
                                      </w:rPr>
                                    </w:pPr>
                                    <w:hyperlink r:id="rId14" w:tgtFrame="_blank" w:history="1">
                                      <w:r>
                                        <w:rPr>
                                          <w:rStyle w:val="Hyperlink"/>
                                          <w:rFonts w:ascii="Verdana" w:hAnsi="Verdana"/>
                                          <w:color w:val="5D5D5D"/>
                                          <w:sz w:val="18"/>
                                          <w:szCs w:val="18"/>
                                        </w:rPr>
                                        <w:t>SafeUnsubscribe™ kathy@cbia.net</w:t>
                                      </w:r>
                                    </w:hyperlink>
                                  </w:p>
                                </w:tc>
                              </w:tr>
                            </w:tbl>
                            <w:p w:rsidR="004E51C0" w:rsidRDefault="004E51C0">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E51C0">
                                <w:trPr>
                                  <w:tblCellSpacing w:w="0" w:type="dxa"/>
                                  <w:jc w:val="center"/>
                                </w:trPr>
                                <w:tc>
                                  <w:tcPr>
                                    <w:tcW w:w="5000" w:type="pct"/>
                                    <w:hideMark/>
                                  </w:tcPr>
                                  <w:p w:rsidR="004E51C0" w:rsidRDefault="004E51C0">
                                    <w:pPr>
                                      <w:jc w:val="center"/>
                                      <w:rPr>
                                        <w:rFonts w:ascii="Verdana" w:hAnsi="Verdana"/>
                                        <w:color w:val="5D5D5D"/>
                                        <w:sz w:val="18"/>
                                        <w:szCs w:val="18"/>
                                      </w:rPr>
                                    </w:pPr>
                                    <w:hyperlink r:id="rId15" w:tgtFrame="_blank" w:history="1">
                                      <w:r>
                                        <w:rPr>
                                          <w:rStyle w:val="Hyperlink"/>
                                          <w:rFonts w:ascii="Verdana" w:hAnsi="Verdana"/>
                                          <w:color w:val="5D5D5D"/>
                                          <w:sz w:val="18"/>
                                          <w:szCs w:val="18"/>
                                        </w:rPr>
                                        <w:t>Forward email</w:t>
                                      </w:r>
                                    </w:hyperlink>
                                    <w:r>
                                      <w:rPr>
                                        <w:rStyle w:val="footercolumn"/>
                                        <w:rFonts w:ascii="Verdana" w:hAnsi="Verdana"/>
                                        <w:color w:val="5D5D5D"/>
                                        <w:sz w:val="18"/>
                                        <w:szCs w:val="18"/>
                                      </w:rPr>
                                      <w:t> </w:t>
                                    </w:r>
                                    <w:r>
                                      <w:rPr>
                                        <w:rStyle w:val="hideinmobile"/>
                                        <w:rFonts w:ascii="Verdana" w:hAnsi="Verdana"/>
                                        <w:color w:val="5D5D5D"/>
                                        <w:sz w:val="18"/>
                                        <w:szCs w:val="18"/>
                                      </w:rPr>
                                      <w:t>| </w:t>
                                    </w:r>
                                    <w:hyperlink r:id="rId16" w:tgtFrame="_blank" w:history="1">
                                      <w:r>
                                        <w:rPr>
                                          <w:rStyle w:val="Hyperlink"/>
                                          <w:rFonts w:ascii="Verdana" w:hAnsi="Verdana"/>
                                          <w:color w:val="5D5D5D"/>
                                          <w:sz w:val="18"/>
                                          <w:szCs w:val="18"/>
                                        </w:rPr>
                                        <w:t>Update Profile</w:t>
                                      </w:r>
                                    </w:hyperlink>
                                    <w:r>
                                      <w:rPr>
                                        <w:rStyle w:val="hideinmobile"/>
                                        <w:rFonts w:ascii="Verdana" w:hAnsi="Verdana"/>
                                        <w:color w:val="5D5D5D"/>
                                        <w:sz w:val="18"/>
                                        <w:szCs w:val="18"/>
                                      </w:rPr>
                                      <w:t> | </w:t>
                                    </w:r>
                                    <w:hyperlink r:id="rId17" w:tgtFrame="_blank" w:history="1">
                                      <w:r>
                                        <w:rPr>
                                          <w:rStyle w:val="Hyperlink"/>
                                          <w:rFonts w:ascii="Verdana" w:hAnsi="Verdana"/>
                                          <w:color w:val="5D5D5D"/>
                                          <w:sz w:val="18"/>
                                          <w:szCs w:val="18"/>
                                        </w:rPr>
                                        <w:t>About our service provider</w:t>
                                      </w:r>
                                    </w:hyperlink>
                                  </w:p>
                                </w:tc>
                              </w:tr>
                            </w:tbl>
                            <w:p w:rsidR="004E51C0" w:rsidRDefault="004E51C0">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E51C0">
                                <w:trPr>
                                  <w:tblCellSpacing w:w="0" w:type="dxa"/>
                                  <w:jc w:val="center"/>
                                </w:trPr>
                                <w:tc>
                                  <w:tcPr>
                                    <w:tcW w:w="5000" w:type="pct"/>
                                    <w:tcMar>
                                      <w:top w:w="75" w:type="dxa"/>
                                      <w:left w:w="0" w:type="dxa"/>
                                      <w:bottom w:w="0" w:type="dxa"/>
                                      <w:right w:w="0" w:type="dxa"/>
                                    </w:tcMar>
                                    <w:hideMark/>
                                  </w:tcPr>
                                  <w:p w:rsidR="004E51C0" w:rsidRDefault="004E51C0">
                                    <w:pPr>
                                      <w:jc w:val="center"/>
                                      <w:rPr>
                                        <w:rFonts w:ascii="Verdana" w:hAnsi="Verdana"/>
                                        <w:color w:val="5D5D5D"/>
                                        <w:sz w:val="18"/>
                                        <w:szCs w:val="18"/>
                                      </w:rPr>
                                    </w:pPr>
                                    <w:r>
                                      <w:rPr>
                                        <w:rFonts w:ascii="Verdana" w:hAnsi="Verdana"/>
                                        <w:color w:val="5D5D5D"/>
                                        <w:sz w:val="18"/>
                                        <w:szCs w:val="18"/>
                                      </w:rPr>
                                      <w:t xml:space="preserve">Sent by </w:t>
                                    </w:r>
                                    <w:hyperlink r:id="rId18" w:tgtFrame="_blank" w:history="1">
                                      <w:r>
                                        <w:rPr>
                                          <w:rStyle w:val="Hyperlink"/>
                                          <w:rFonts w:ascii="Verdana" w:hAnsi="Verdana"/>
                                          <w:color w:val="5D5D5D"/>
                                          <w:sz w:val="18"/>
                                          <w:szCs w:val="18"/>
                                        </w:rPr>
                                        <w:t>naborhoodnews@nabor.com</w:t>
                                      </w:r>
                                    </w:hyperlink>
                                    <w:r>
                                      <w:rPr>
                                        <w:rFonts w:ascii="Verdana" w:hAnsi="Verdana"/>
                                        <w:color w:val="5D5D5D"/>
                                        <w:sz w:val="18"/>
                                        <w:szCs w:val="18"/>
                                      </w:rPr>
                                      <w:t xml:space="preserve"> in collaboration with</w:t>
                                    </w:r>
                                  </w:p>
                                </w:tc>
                              </w:tr>
                            </w:tbl>
                            <w:p w:rsidR="004E51C0" w:rsidRDefault="004E51C0">
                              <w:pPr>
                                <w:jc w:val="center"/>
                                <w:rPr>
                                  <w:sz w:val="20"/>
                                  <w:szCs w:val="20"/>
                                </w:rPr>
                              </w:pPr>
                            </w:p>
                          </w:tc>
                        </w:tr>
                        <w:tr w:rsidR="004E51C0">
                          <w:trPr>
                            <w:tblCellSpacing w:w="0" w:type="dxa"/>
                            <w:jc w:val="center"/>
                          </w:trPr>
                          <w:tc>
                            <w:tcPr>
                              <w:tcW w:w="5000" w:type="pct"/>
                              <w:tcMar>
                                <w:top w:w="30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E51C0">
                                <w:trPr>
                                  <w:tblCellSpacing w:w="0" w:type="dxa"/>
                                  <w:jc w:val="center"/>
                                </w:trPr>
                                <w:tc>
                                  <w:tcPr>
                                    <w:tcW w:w="5000" w:type="pct"/>
                                    <w:tcMar>
                                      <w:top w:w="0" w:type="dxa"/>
                                      <w:left w:w="0" w:type="dxa"/>
                                      <w:bottom w:w="75" w:type="dxa"/>
                                      <w:right w:w="0" w:type="dxa"/>
                                    </w:tcMar>
                                    <w:hideMark/>
                                  </w:tcPr>
                                  <w:p w:rsidR="004E51C0" w:rsidRDefault="004E51C0">
                                    <w:pPr>
                                      <w:jc w:val="center"/>
                                    </w:pPr>
                                    <w:r>
                                      <w:rPr>
                                        <w:noProof/>
                                        <w:color w:val="0000FF"/>
                                      </w:rPr>
                                      <w:drawing>
                                        <wp:inline distT="0" distB="0" distL="0" distR="0">
                                          <wp:extent cx="1714500" cy="243840"/>
                                          <wp:effectExtent l="0" t="0" r="0" b="3810"/>
                                          <wp:docPr id="2" name="Picture 2" descr="Constant Contact">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tant Conta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243840"/>
                                                  </a:xfrm>
                                                  <a:prstGeom prst="rect">
                                                    <a:avLst/>
                                                  </a:prstGeom>
                                                  <a:noFill/>
                                                  <a:ln>
                                                    <a:noFill/>
                                                  </a:ln>
                                                </pic:spPr>
                                              </pic:pic>
                                            </a:graphicData>
                                          </a:graphic>
                                        </wp:inline>
                                      </w:drawing>
                                    </w:r>
                                  </w:p>
                                </w:tc>
                              </w:tr>
                              <w:tr w:rsidR="004E51C0">
                                <w:trPr>
                                  <w:tblCellSpacing w:w="0" w:type="dxa"/>
                                  <w:jc w:val="center"/>
                                </w:trPr>
                                <w:tc>
                                  <w:tcPr>
                                    <w:tcW w:w="5000" w:type="pct"/>
                                    <w:hideMark/>
                                  </w:tcPr>
                                  <w:tbl>
                                    <w:tblPr>
                                      <w:tblW w:w="1536" w:type="dxa"/>
                                      <w:jc w:val="center"/>
                                      <w:tblCellSpacing w:w="0" w:type="dxa"/>
                                      <w:tblCellMar>
                                        <w:left w:w="0" w:type="dxa"/>
                                        <w:right w:w="0" w:type="dxa"/>
                                      </w:tblCellMar>
                                      <w:tblLook w:val="04A0" w:firstRow="1" w:lastRow="0" w:firstColumn="1" w:lastColumn="0" w:noHBand="0" w:noVBand="1"/>
                                    </w:tblPr>
                                    <w:tblGrid>
                                      <w:gridCol w:w="1536"/>
                                    </w:tblGrid>
                                    <w:tr w:rsidR="004E51C0">
                                      <w:trPr>
                                        <w:tblCellSpacing w:w="0" w:type="dxa"/>
                                        <w:jc w:val="center"/>
                                      </w:trPr>
                                      <w:tc>
                                        <w:tcPr>
                                          <w:tcW w:w="5000" w:type="pct"/>
                                          <w:hideMark/>
                                        </w:tcPr>
                                        <w:p w:rsidR="004E51C0" w:rsidRDefault="004E51C0">
                                          <w:pPr>
                                            <w:rPr>
                                              <w:rFonts w:ascii="Verdana" w:hAnsi="Verdana"/>
                                              <w:color w:val="184F8E"/>
                                              <w:sz w:val="17"/>
                                              <w:szCs w:val="17"/>
                                            </w:rPr>
                                          </w:pPr>
                                          <w:hyperlink r:id="rId21" w:tgtFrame="_blank" w:history="1">
                                            <w:r>
                                              <w:rPr>
                                                <w:rStyle w:val="Hyperlink"/>
                                                <w:rFonts w:ascii="Verdana" w:hAnsi="Verdana"/>
                                                <w:color w:val="184F8E"/>
                                                <w:sz w:val="17"/>
                                                <w:szCs w:val="17"/>
                                                <w:u w:val="none"/>
                                              </w:rPr>
                                              <w:t>Try it free today</w:t>
                                            </w:r>
                                          </w:hyperlink>
                                        </w:p>
                                      </w:tc>
                                    </w:tr>
                                  </w:tbl>
                                  <w:p w:rsidR="004E51C0" w:rsidRDefault="004E51C0">
                                    <w:pPr>
                                      <w:jc w:val="center"/>
                                      <w:rPr>
                                        <w:sz w:val="20"/>
                                        <w:szCs w:val="20"/>
                                      </w:rPr>
                                    </w:pPr>
                                  </w:p>
                                </w:tc>
                              </w:tr>
                            </w:tbl>
                            <w:p w:rsidR="004E51C0" w:rsidRDefault="004E51C0">
                              <w:pPr>
                                <w:jc w:val="center"/>
                                <w:rPr>
                                  <w:sz w:val="20"/>
                                  <w:szCs w:val="20"/>
                                </w:rPr>
                              </w:pPr>
                            </w:p>
                          </w:tc>
                        </w:tr>
                      </w:tbl>
                      <w:p w:rsidR="004E51C0" w:rsidRDefault="004E51C0">
                        <w:pPr>
                          <w:jc w:val="center"/>
                          <w:rPr>
                            <w:sz w:val="20"/>
                            <w:szCs w:val="20"/>
                          </w:rPr>
                        </w:pPr>
                      </w:p>
                    </w:tc>
                  </w:tr>
                </w:tbl>
                <w:p w:rsidR="004E51C0" w:rsidRDefault="004E51C0">
                  <w:pPr>
                    <w:jc w:val="center"/>
                    <w:rPr>
                      <w:sz w:val="20"/>
                      <w:szCs w:val="20"/>
                    </w:rPr>
                  </w:pPr>
                </w:p>
              </w:tc>
              <w:tc>
                <w:tcPr>
                  <w:tcW w:w="0" w:type="auto"/>
                  <w:shd w:val="clear" w:color="auto" w:fill="FFFFFF"/>
                  <w:vAlign w:val="center"/>
                  <w:hideMark/>
                </w:tcPr>
                <w:p w:rsidR="004E51C0" w:rsidRDefault="004E51C0">
                  <w:r>
                    <w:rPr>
                      <w:noProof/>
                    </w:rPr>
                    <w:drawing>
                      <wp:inline distT="0" distB="0" distL="0" distR="0">
                        <wp:extent cx="7620" cy="45720"/>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sys/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r>
          </w:tbl>
          <w:p w:rsidR="004E51C0" w:rsidRDefault="004E51C0">
            <w:pPr>
              <w:jc w:val="center"/>
              <w:rPr>
                <w:sz w:val="20"/>
                <w:szCs w:val="20"/>
              </w:rPr>
            </w:pPr>
          </w:p>
        </w:tc>
      </w:tr>
    </w:tbl>
    <w:p w:rsidR="00A963C4" w:rsidRDefault="00A963C4">
      <w:bookmarkStart w:id="0" w:name="_GoBack"/>
      <w:bookmarkEnd w:id="0"/>
    </w:p>
    <w:sectPr w:rsidR="00A96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C0"/>
    <w:rsid w:val="004E51C0"/>
    <w:rsid w:val="00A9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1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1C0"/>
    <w:rPr>
      <w:color w:val="0000FF"/>
      <w:u w:val="single"/>
    </w:rPr>
  </w:style>
  <w:style w:type="paragraph" w:styleId="NormalWeb">
    <w:name w:val="Normal (Web)"/>
    <w:basedOn w:val="Normal"/>
    <w:uiPriority w:val="99"/>
    <w:unhideWhenUsed/>
    <w:rsid w:val="004E51C0"/>
    <w:pPr>
      <w:spacing w:before="100" w:beforeAutospacing="1" w:after="100" w:afterAutospacing="1"/>
    </w:pPr>
  </w:style>
  <w:style w:type="character" w:customStyle="1" w:styleId="footercolumn">
    <w:name w:val="footercolumn"/>
    <w:basedOn w:val="DefaultParagraphFont"/>
    <w:rsid w:val="004E51C0"/>
  </w:style>
  <w:style w:type="character" w:customStyle="1" w:styleId="hideinmobile">
    <w:name w:val="hideinmobile"/>
    <w:basedOn w:val="DefaultParagraphFont"/>
    <w:rsid w:val="004E51C0"/>
  </w:style>
  <w:style w:type="character" w:styleId="Emphasis">
    <w:name w:val="Emphasis"/>
    <w:basedOn w:val="DefaultParagraphFont"/>
    <w:uiPriority w:val="20"/>
    <w:qFormat/>
    <w:rsid w:val="004E51C0"/>
    <w:rPr>
      <w:i/>
      <w:iCs/>
    </w:rPr>
  </w:style>
  <w:style w:type="character" w:styleId="Strong">
    <w:name w:val="Strong"/>
    <w:basedOn w:val="DefaultParagraphFont"/>
    <w:uiPriority w:val="22"/>
    <w:qFormat/>
    <w:rsid w:val="004E51C0"/>
    <w:rPr>
      <w:b/>
      <w:bCs/>
    </w:rPr>
  </w:style>
  <w:style w:type="paragraph" w:styleId="BalloonText">
    <w:name w:val="Balloon Text"/>
    <w:basedOn w:val="Normal"/>
    <w:link w:val="BalloonTextChar"/>
    <w:uiPriority w:val="99"/>
    <w:semiHidden/>
    <w:unhideWhenUsed/>
    <w:rsid w:val="004E51C0"/>
    <w:rPr>
      <w:rFonts w:ascii="Tahoma" w:hAnsi="Tahoma" w:cs="Tahoma"/>
      <w:sz w:val="16"/>
      <w:szCs w:val="16"/>
    </w:rPr>
  </w:style>
  <w:style w:type="character" w:customStyle="1" w:styleId="BalloonTextChar">
    <w:name w:val="Balloon Text Char"/>
    <w:basedOn w:val="DefaultParagraphFont"/>
    <w:link w:val="BalloonText"/>
    <w:uiPriority w:val="99"/>
    <w:semiHidden/>
    <w:rsid w:val="004E51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1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1C0"/>
    <w:rPr>
      <w:color w:val="0000FF"/>
      <w:u w:val="single"/>
    </w:rPr>
  </w:style>
  <w:style w:type="paragraph" w:styleId="NormalWeb">
    <w:name w:val="Normal (Web)"/>
    <w:basedOn w:val="Normal"/>
    <w:uiPriority w:val="99"/>
    <w:unhideWhenUsed/>
    <w:rsid w:val="004E51C0"/>
    <w:pPr>
      <w:spacing w:before="100" w:beforeAutospacing="1" w:after="100" w:afterAutospacing="1"/>
    </w:pPr>
  </w:style>
  <w:style w:type="character" w:customStyle="1" w:styleId="footercolumn">
    <w:name w:val="footercolumn"/>
    <w:basedOn w:val="DefaultParagraphFont"/>
    <w:rsid w:val="004E51C0"/>
  </w:style>
  <w:style w:type="character" w:customStyle="1" w:styleId="hideinmobile">
    <w:name w:val="hideinmobile"/>
    <w:basedOn w:val="DefaultParagraphFont"/>
    <w:rsid w:val="004E51C0"/>
  </w:style>
  <w:style w:type="character" w:styleId="Emphasis">
    <w:name w:val="Emphasis"/>
    <w:basedOn w:val="DefaultParagraphFont"/>
    <w:uiPriority w:val="20"/>
    <w:qFormat/>
    <w:rsid w:val="004E51C0"/>
    <w:rPr>
      <w:i/>
      <w:iCs/>
    </w:rPr>
  </w:style>
  <w:style w:type="character" w:styleId="Strong">
    <w:name w:val="Strong"/>
    <w:basedOn w:val="DefaultParagraphFont"/>
    <w:uiPriority w:val="22"/>
    <w:qFormat/>
    <w:rsid w:val="004E51C0"/>
    <w:rPr>
      <w:b/>
      <w:bCs/>
    </w:rPr>
  </w:style>
  <w:style w:type="paragraph" w:styleId="BalloonText">
    <w:name w:val="Balloon Text"/>
    <w:basedOn w:val="Normal"/>
    <w:link w:val="BalloonTextChar"/>
    <w:uiPriority w:val="99"/>
    <w:semiHidden/>
    <w:unhideWhenUsed/>
    <w:rsid w:val="004E51C0"/>
    <w:rPr>
      <w:rFonts w:ascii="Tahoma" w:hAnsi="Tahoma" w:cs="Tahoma"/>
      <w:sz w:val="16"/>
      <w:szCs w:val="16"/>
    </w:rPr>
  </w:style>
  <w:style w:type="character" w:customStyle="1" w:styleId="BalloonTextChar">
    <w:name w:val="Balloon Text Char"/>
    <w:basedOn w:val="DefaultParagraphFont"/>
    <w:link w:val="BalloonText"/>
    <w:uiPriority w:val="99"/>
    <w:semiHidden/>
    <w:rsid w:val="004E51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lesarea.com" TargetMode="External"/><Relationship Id="rId13" Type="http://schemas.openxmlformats.org/officeDocument/2006/relationships/image" Target="media/image2.gif"/><Relationship Id="rId18" Type="http://schemas.openxmlformats.org/officeDocument/2006/relationships/hyperlink" Target="mailto:naborhoodnews@nabor.com" TargetMode="External"/><Relationship Id="rId3" Type="http://schemas.openxmlformats.org/officeDocument/2006/relationships/settings" Target="settings.xml"/><Relationship Id="rId21" Type="http://schemas.openxmlformats.org/officeDocument/2006/relationships/hyperlink" Target="http://www.constantcontact.com/index.jsp?cc=TEM_BusLet_003" TargetMode="External"/><Relationship Id="rId7" Type="http://schemas.openxmlformats.org/officeDocument/2006/relationships/hyperlink" Target="http://r20.rs6.net/tn.jsp?f=0013GPp_6JojBan8RFFsRV9-3_bpw034vORinghIn6Ot4oAoRO6dwadGTTgAldnXh4U_tUhBSPf1J5CwOZ4e1Q83jU2MqpIs5i4Q5_uFs63hQT9GSzLKonyenuZaeZXjdaWnyoe17gwO_0D7AXpGXU237xpTDlcDgtjhlhJX5ElEETPgE7NrzsL5WxViQ4a-uDW17fAd3Ah8nwahpNsrwzz7O1EjqPXjJ-daOHnUpMzHKtoa2vSAQtL76Pwth-3-W24&amp;c=yG6MPJBF1f6mOm8yfAqy99NgTT-_cIlBD4LWAcI92lFg8AJz5CTNSw==&amp;ch=r9_70U5J1ORI37pE6q2nR7PKFqIavr3sxMPMIbQB9Ox89AXSJVuSuA==" TargetMode="External"/><Relationship Id="rId12" Type="http://schemas.openxmlformats.org/officeDocument/2006/relationships/hyperlink" Target="http://r20.rs6.net/tn.jsp?f=0013GPp_6JojBan8RFFsRV9-3_bpw034vORinghIn6Ot4oAoRO6dwadGRzpuQnxgAdrTn-ypkfQbGtqR4Ovs5NP3DA-cGJld0sqY6KXRYfoytO6q0sXU8LP7ZzwZleQv22xEThZqnHch-hMGO6h-gRTHzGd0hpCY-jGTwcVW_5mjHY=&amp;c=yG6MPJBF1f6mOm8yfAqy99NgTT-_cIlBD4LWAcI92lFg8AJz5CTNSw==&amp;ch=r9_70U5J1ORI37pE6q2nR7PKFqIavr3sxMPMIbQB9Ox89AXSJVuSuA==" TargetMode="External"/><Relationship Id="rId17" Type="http://schemas.openxmlformats.org/officeDocument/2006/relationships/hyperlink" Target="http://www.constantcontact.com/legal/service-provider?cc=about-service-provider" TargetMode="External"/><Relationship Id="rId2" Type="http://schemas.microsoft.com/office/2007/relationships/stylesWithEffects" Target="stylesWithEffects.xml"/><Relationship Id="rId16" Type="http://schemas.openxmlformats.org/officeDocument/2006/relationships/hyperlink" Target="https://visitor.constantcontact.com/do?p=oo&amp;m=0016Jxl7MunXMyd3fYGYvueBQ%3D%3D&amp;ch=ddaa3320-36e0-11e3-87db-d4ae5275509e&amp;ca=ad4e9cf8-4c8b-48fc-a29c-5df0daa02d46"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20.rs6.net/tn.jsp?f=0013GPp_6JojBan8RFFsRV9-3_bpw034vORinghIn6Ot4oAoRO6dwadGRzpuQnxgAdriJyiTAf7jGxDRKSX4jqFtvEFEau4d8RZYf7-FRSA9MO0i6ERYm1dtjwcemE8-CNAa4wFKwcjggVJg_VKD-ZhbpkkE1_h5O3N&amp;c=yG6MPJBF1f6mOm8yfAqy99NgTT-_cIlBD4LWAcI92lFg8AJz5CTNSw==&amp;ch=r9_70U5J1ORI37pE6q2nR7PKFqIavr3sxMPMIbQB9Ox89AXSJVuSuA==" TargetMode="External"/><Relationship Id="rId5" Type="http://schemas.openxmlformats.org/officeDocument/2006/relationships/image" Target="http://files.constantcontact.com/85a2c058001/e4f5ad06-dccd-4059-8e82-250fb4ffade2.png" TargetMode="External"/><Relationship Id="rId15" Type="http://schemas.openxmlformats.org/officeDocument/2006/relationships/hyperlink" Target="http://ui.constantcontact.com/sa/fwtf.jsp?llr=yskyqccab&amp;m=1101743794776&amp;ea=kathy%40cbia.net&amp;a=1129625243756" TargetMode="External"/><Relationship Id="rId23" Type="http://schemas.openxmlformats.org/officeDocument/2006/relationships/theme" Target="theme/theme1.xml"/><Relationship Id="rId10" Type="http://schemas.openxmlformats.org/officeDocument/2006/relationships/hyperlink" Target="http://r20.rs6.net/tn.jsp?f=0013GPp_6JojBan8RFFsRV9-3_bpw034vORinghIn6Ot4oAoRO6dwadGUsb6EDRZ7Vw-XVRipqCk378dxjVADhlg4tBX5o-KR7GshGRUrRKtFGuW3Ztz-c4QJBlcVxOPSz0CRWpIyjlO3Hzm9DfkVkJZ1G9RffEptuXSMD_r_DrJ_A=&amp;c=yG6MPJBF1f6mOm8yfAqy99NgTT-_cIlBD4LWAcI92lFg8AJz5CTNSw==&amp;ch=r9_70U5J1ORI37pE6q2nR7PKFqIavr3sxMPMIbQB9Ox89AXSJVuSuA==" TargetMode="External"/><Relationship Id="rId19" Type="http://schemas.openxmlformats.org/officeDocument/2006/relationships/hyperlink" Target="http://www.constantcontact.com/index.jsp?cc=TEM_BusLet_003" TargetMode="External"/><Relationship Id="rId4" Type="http://schemas.openxmlformats.org/officeDocument/2006/relationships/webSettings" Target="webSettings.xml"/><Relationship Id="rId9" Type="http://schemas.openxmlformats.org/officeDocument/2006/relationships/hyperlink" Target="http://r20.rs6.net/tn.jsp?f=0013GPp_6JojBan8RFFsRV9-3_bpw034vORinghIn6Ot4oAoRO6dwadGTTgAldnXh4U-orju4zPL2G0La7G1x1ITRiOFtC7pUufK2rUnfM0wtjGd7mb2lS7wQMMs9jt93g-Gr8X4cJWCAtGoNpqIvImXQX-BAm9Y173ymlHsQ4B70SqFDnEi-Y9ctt85KOqqMBEjRuak0-7qmndU4PKHpWk92hoKTMYqUhBCBz4DbKvYIMGpVUyv0jHpNLllo8BCYZc&amp;c=yG6MPJBF1f6mOm8yfAqy99NgTT-_cIlBD4LWAcI92lFg8AJz5CTNSw==&amp;ch=r9_70U5J1ORI37pE6q2nR7PKFqIavr3sxMPMIbQB9Ox89AXSJVuSuA==" TargetMode="External"/><Relationship Id="rId14" Type="http://schemas.openxmlformats.org/officeDocument/2006/relationships/hyperlink" Target="https://visitor.constantcontact.com/do?p=un&amp;m=0016Jxl7MunXMyd3fYGYvueBQ%3D%3D&amp;ch=ddaa3320-36e0-11e3-87db-d4ae5275509e&amp;ca=ad4e9cf8-4c8b-48fc-a29c-5df0daa02d4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Curatolo</dc:creator>
  <cp:lastModifiedBy>Kathy Curatolo</cp:lastModifiedBy>
  <cp:revision>1</cp:revision>
  <dcterms:created xsi:type="dcterms:W3CDTF">2018-01-04T16:41:00Z</dcterms:created>
  <dcterms:modified xsi:type="dcterms:W3CDTF">2018-01-04T16:42:00Z</dcterms:modified>
</cp:coreProperties>
</file>